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763E" w14:textId="1CC5892F" w:rsidR="009B1BC3" w:rsidRPr="00844BB4" w:rsidRDefault="005C72A7" w:rsidP="003A2294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 w:rsidRPr="00844BB4">
        <w:rPr>
          <w:rFonts w:cstheme="minorHAnsi"/>
          <w:b/>
          <w:bCs/>
        </w:rPr>
        <w:t>State of Kansas Employees Health Care Commission</w:t>
      </w:r>
    </w:p>
    <w:p w14:paraId="612CA1F8" w14:textId="7BCF819B" w:rsidR="005C72A7" w:rsidRPr="00844BB4" w:rsidRDefault="00283C35" w:rsidP="0088236D">
      <w:pPr>
        <w:jc w:val="center"/>
        <w:rPr>
          <w:rFonts w:cstheme="minorHAnsi"/>
          <w:b/>
          <w:bCs/>
        </w:rPr>
      </w:pPr>
      <w:r w:rsidRPr="00844BB4">
        <w:rPr>
          <w:rFonts w:cstheme="minorHAnsi"/>
          <w:b/>
          <w:bCs/>
        </w:rPr>
        <w:t>January 23, 2020</w:t>
      </w:r>
    </w:p>
    <w:p w14:paraId="398ED4EF" w14:textId="77777777" w:rsidR="00EE4D62" w:rsidRPr="00844BB4" w:rsidRDefault="00EE4D62" w:rsidP="00AF2811">
      <w:pPr>
        <w:jc w:val="center"/>
        <w:rPr>
          <w:rFonts w:cstheme="minorHAnsi"/>
          <w:b/>
          <w:bCs/>
          <w:u w:val="single"/>
        </w:rPr>
      </w:pPr>
    </w:p>
    <w:p w14:paraId="62AC0BE5" w14:textId="645204CB" w:rsidR="005226BB" w:rsidRPr="00844BB4" w:rsidRDefault="00AF2811" w:rsidP="00AF2811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CALL TO ORDER</w:t>
      </w:r>
    </w:p>
    <w:p w14:paraId="0D247F5B" w14:textId="55320562" w:rsidR="00AF2811" w:rsidRPr="00844BB4" w:rsidRDefault="00BA089C" w:rsidP="00AF2811">
      <w:pPr>
        <w:rPr>
          <w:rFonts w:cstheme="minorHAnsi"/>
        </w:rPr>
      </w:pPr>
      <w:r w:rsidRPr="00844BB4">
        <w:rPr>
          <w:rFonts w:cstheme="minorHAnsi"/>
        </w:rPr>
        <w:t>The State of Kansas Employees</w:t>
      </w:r>
      <w:r w:rsidR="00B729D4" w:rsidRPr="00844BB4">
        <w:rPr>
          <w:rFonts w:cstheme="minorHAnsi"/>
        </w:rPr>
        <w:t xml:space="preserve"> Health Care Commission</w:t>
      </w:r>
      <w:r w:rsidR="00601668" w:rsidRPr="00844BB4">
        <w:rPr>
          <w:rFonts w:cstheme="minorHAnsi"/>
        </w:rPr>
        <w:t xml:space="preserve"> (HCC) meeting was called to order</w:t>
      </w:r>
      <w:r w:rsidR="00973A1C" w:rsidRPr="00844BB4">
        <w:rPr>
          <w:rFonts w:cstheme="minorHAnsi"/>
        </w:rPr>
        <w:t xml:space="preserve"> on </w:t>
      </w:r>
      <w:r w:rsidR="002948FA" w:rsidRPr="00844BB4">
        <w:rPr>
          <w:rFonts w:cstheme="minorHAnsi"/>
        </w:rPr>
        <w:t>February 24, 2020</w:t>
      </w:r>
      <w:r w:rsidR="00973A1C" w:rsidRPr="00844BB4">
        <w:rPr>
          <w:rFonts w:cstheme="minorHAnsi"/>
        </w:rPr>
        <w:t xml:space="preserve"> at </w:t>
      </w:r>
      <w:r w:rsidR="00D14D14">
        <w:rPr>
          <w:rFonts w:cstheme="minorHAnsi"/>
        </w:rPr>
        <w:t>1:31pm</w:t>
      </w:r>
      <w:r w:rsidR="00C32851" w:rsidRPr="00844BB4">
        <w:rPr>
          <w:rFonts w:cstheme="minorHAnsi"/>
        </w:rPr>
        <w:t xml:space="preserve">. </w:t>
      </w:r>
      <w:r w:rsidR="001335F3" w:rsidRPr="00844BB4">
        <w:rPr>
          <w:rFonts w:cstheme="minorHAnsi"/>
        </w:rPr>
        <w:t xml:space="preserve">The meeting was conducted </w:t>
      </w:r>
      <w:r w:rsidR="002948FA" w:rsidRPr="00844BB4">
        <w:rPr>
          <w:rFonts w:cstheme="minorHAnsi"/>
        </w:rPr>
        <w:t xml:space="preserve">in person at </w:t>
      </w:r>
      <w:r w:rsidR="006E3F9A">
        <w:rPr>
          <w:rFonts w:cstheme="minorHAnsi"/>
        </w:rPr>
        <w:t>611 Kansas</w:t>
      </w:r>
      <w:r w:rsidR="0045207B">
        <w:rPr>
          <w:rFonts w:cstheme="minorHAnsi"/>
        </w:rPr>
        <w:t xml:space="preserve"> Ave.</w:t>
      </w:r>
      <w:r w:rsidR="002948FA" w:rsidRPr="00844BB4">
        <w:rPr>
          <w:rFonts w:cstheme="minorHAnsi"/>
        </w:rPr>
        <w:t xml:space="preserve"> in the KPERS Board Room</w:t>
      </w:r>
      <w:r w:rsidR="001335F3" w:rsidRPr="00844BB4">
        <w:rPr>
          <w:rFonts w:cstheme="minorHAnsi"/>
        </w:rPr>
        <w:t xml:space="preserve"> following publication t</w:t>
      </w:r>
      <w:r w:rsidR="0069094D" w:rsidRPr="00844BB4">
        <w:rPr>
          <w:rFonts w:cstheme="minorHAnsi"/>
        </w:rPr>
        <w:t>o the State of Kansas’s Public Square</w:t>
      </w:r>
      <w:r w:rsidR="00A86B4D" w:rsidRPr="00844BB4">
        <w:rPr>
          <w:rFonts w:cstheme="minorHAnsi"/>
        </w:rPr>
        <w:t xml:space="preserve"> web portal. </w:t>
      </w:r>
      <w:r w:rsidR="00C32851" w:rsidRPr="00844BB4">
        <w:rPr>
          <w:rFonts w:cstheme="minorHAnsi"/>
        </w:rPr>
        <w:t>The following</w:t>
      </w:r>
      <w:r w:rsidR="00742C6F" w:rsidRPr="00844BB4">
        <w:rPr>
          <w:rFonts w:cstheme="minorHAnsi"/>
        </w:rPr>
        <w:t xml:space="preserve"> persons were present: Chair </w:t>
      </w:r>
      <w:proofErr w:type="spellStart"/>
      <w:r w:rsidR="00742C6F" w:rsidRPr="00844BB4">
        <w:rPr>
          <w:rFonts w:cstheme="minorHAnsi"/>
        </w:rPr>
        <w:t>DeAngela</w:t>
      </w:r>
      <w:proofErr w:type="spellEnd"/>
      <w:r w:rsidR="00742C6F" w:rsidRPr="00844BB4">
        <w:rPr>
          <w:rFonts w:cstheme="minorHAnsi"/>
        </w:rPr>
        <w:t xml:space="preserve"> Burns-Wallace</w:t>
      </w:r>
      <w:r w:rsidR="00F066A3" w:rsidRPr="00844BB4">
        <w:rPr>
          <w:rFonts w:cstheme="minorHAnsi"/>
        </w:rPr>
        <w:t>,</w:t>
      </w:r>
      <w:r w:rsidR="00EB0223" w:rsidRPr="00844BB4">
        <w:rPr>
          <w:rFonts w:cstheme="minorHAnsi"/>
        </w:rPr>
        <w:t xml:space="preserve"> </w:t>
      </w:r>
      <w:proofErr w:type="spellStart"/>
      <w:proofErr w:type="gramStart"/>
      <w:r w:rsidR="00EB0223" w:rsidRPr="00844BB4">
        <w:rPr>
          <w:rFonts w:cstheme="minorHAnsi"/>
        </w:rPr>
        <w:t>Ed.D</w:t>
      </w:r>
      <w:proofErr w:type="spellEnd"/>
      <w:proofErr w:type="gramEnd"/>
      <w:r w:rsidR="003D6E20" w:rsidRPr="00844BB4">
        <w:rPr>
          <w:rFonts w:cstheme="minorHAnsi"/>
        </w:rPr>
        <w:t>;</w:t>
      </w:r>
      <w:r w:rsidR="00F066A3" w:rsidRPr="00844BB4">
        <w:rPr>
          <w:rFonts w:cstheme="minorHAnsi"/>
        </w:rPr>
        <w:t xml:space="preserve"> Commissioners</w:t>
      </w:r>
      <w:r w:rsidR="00A824EF" w:rsidRPr="00844BB4">
        <w:rPr>
          <w:rFonts w:cstheme="minorHAnsi"/>
        </w:rPr>
        <w:t xml:space="preserve"> Steve </w:t>
      </w:r>
      <w:proofErr w:type="spellStart"/>
      <w:r w:rsidR="00A824EF" w:rsidRPr="00844BB4">
        <w:rPr>
          <w:rFonts w:cstheme="minorHAnsi"/>
        </w:rPr>
        <w:t>Dechant</w:t>
      </w:r>
      <w:proofErr w:type="spellEnd"/>
      <w:r w:rsidR="00285DAD" w:rsidRPr="00844BB4">
        <w:rPr>
          <w:rFonts w:cstheme="minorHAnsi"/>
        </w:rPr>
        <w:t xml:space="preserve">; </w:t>
      </w:r>
      <w:r w:rsidR="003D6E20" w:rsidRPr="00844BB4">
        <w:rPr>
          <w:rFonts w:cstheme="minorHAnsi"/>
        </w:rPr>
        <w:t xml:space="preserve">Ximena Garcia, M.D.; </w:t>
      </w:r>
      <w:r w:rsidR="00A71A6E" w:rsidRPr="00844BB4">
        <w:rPr>
          <w:rFonts w:cstheme="minorHAnsi"/>
        </w:rPr>
        <w:t>Heather Young</w:t>
      </w:r>
      <w:r w:rsidR="001D2F4F" w:rsidRPr="00844BB4">
        <w:rPr>
          <w:rFonts w:cstheme="minorHAnsi"/>
        </w:rPr>
        <w:t>.</w:t>
      </w:r>
      <w:r w:rsidR="00737D4D" w:rsidRPr="00844BB4">
        <w:rPr>
          <w:rFonts w:cstheme="minorHAnsi"/>
        </w:rPr>
        <w:t xml:space="preserve"> </w:t>
      </w:r>
      <w:r w:rsidR="00BD368A">
        <w:rPr>
          <w:rFonts w:cstheme="minorHAnsi"/>
        </w:rPr>
        <w:t xml:space="preserve">Commissioner Vicki Schmidt was out ill. </w:t>
      </w:r>
      <w:r w:rsidR="00737D4D" w:rsidRPr="00844BB4">
        <w:rPr>
          <w:rFonts w:cstheme="minorHAnsi"/>
        </w:rPr>
        <w:t>Mike Michael</w:t>
      </w:r>
      <w:r w:rsidR="0051282F" w:rsidRPr="00844BB4">
        <w:rPr>
          <w:rFonts w:cstheme="minorHAnsi"/>
        </w:rPr>
        <w:t>, SEHP director,</w:t>
      </w:r>
      <w:r w:rsidR="00737D4D" w:rsidRPr="00844BB4">
        <w:rPr>
          <w:rFonts w:cstheme="minorHAnsi"/>
        </w:rPr>
        <w:t xml:space="preserve"> from the </w:t>
      </w:r>
      <w:r w:rsidR="00097789" w:rsidRPr="00844BB4">
        <w:rPr>
          <w:rFonts w:cstheme="minorHAnsi"/>
        </w:rPr>
        <w:t xml:space="preserve">Kansas Department of Health and Environment (KDHE) </w:t>
      </w:r>
      <w:r w:rsidR="00737D4D" w:rsidRPr="00844BB4">
        <w:rPr>
          <w:rFonts w:cstheme="minorHAnsi"/>
        </w:rPr>
        <w:t>Division of Health Care Finance (HCF)</w:t>
      </w:r>
      <w:r w:rsidR="00096298" w:rsidRPr="00844BB4">
        <w:rPr>
          <w:rFonts w:cstheme="minorHAnsi"/>
        </w:rPr>
        <w:t xml:space="preserve"> </w:t>
      </w:r>
      <w:r w:rsidR="00F70B14">
        <w:rPr>
          <w:rFonts w:cstheme="minorHAnsi"/>
        </w:rPr>
        <w:t>was</w:t>
      </w:r>
      <w:r w:rsidR="00096298" w:rsidRPr="00844BB4">
        <w:rPr>
          <w:rFonts w:cstheme="minorHAnsi"/>
        </w:rPr>
        <w:t xml:space="preserve"> also in attendance.</w:t>
      </w:r>
    </w:p>
    <w:p w14:paraId="76D6514E" w14:textId="16FA1D04" w:rsidR="00F36D95" w:rsidRPr="00844BB4" w:rsidRDefault="00F36D95" w:rsidP="00AF2811">
      <w:pPr>
        <w:rPr>
          <w:rFonts w:cstheme="minorHAnsi"/>
        </w:rPr>
      </w:pPr>
    </w:p>
    <w:p w14:paraId="1437E9B7" w14:textId="302F9A2F" w:rsidR="00F36D95" w:rsidRPr="00844BB4" w:rsidRDefault="00F36D95" w:rsidP="00F36D95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ACTION ITEMS</w:t>
      </w:r>
    </w:p>
    <w:p w14:paraId="4809DEBA" w14:textId="3EE42A1F" w:rsidR="00CE076A" w:rsidRPr="00844BB4" w:rsidRDefault="00CE076A" w:rsidP="00CE076A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CE076A">
        <w:rPr>
          <w:rFonts w:cstheme="minorHAnsi"/>
          <w:b/>
          <w:bCs/>
        </w:rPr>
        <w:t>Approval of the Minutes from December 13, 2019</w:t>
      </w:r>
    </w:p>
    <w:p w14:paraId="5230BE67" w14:textId="3F33B179" w:rsidR="00CE076A" w:rsidRPr="00844BB4" w:rsidRDefault="00397594" w:rsidP="00397594">
      <w:pPr>
        <w:ind w:left="360"/>
        <w:rPr>
          <w:rFonts w:cstheme="minorHAnsi"/>
        </w:rPr>
      </w:pPr>
      <w:r w:rsidRPr="00844BB4">
        <w:rPr>
          <w:rFonts w:cstheme="minorHAnsi"/>
        </w:rPr>
        <w:t xml:space="preserve">There was a motion to approve the minutes from the December 13, 2019 meeting by </w:t>
      </w:r>
      <w:r w:rsidR="00BD480D">
        <w:rPr>
          <w:rFonts w:cstheme="minorHAnsi"/>
        </w:rPr>
        <w:t xml:space="preserve">Commissioner </w:t>
      </w:r>
      <w:r w:rsidR="006236E7">
        <w:rPr>
          <w:rFonts w:cstheme="minorHAnsi"/>
        </w:rPr>
        <w:t xml:space="preserve">Steve </w:t>
      </w:r>
      <w:proofErr w:type="spellStart"/>
      <w:r w:rsidR="006236E7">
        <w:rPr>
          <w:rFonts w:cstheme="minorHAnsi"/>
        </w:rPr>
        <w:t>Dechant</w:t>
      </w:r>
      <w:proofErr w:type="spellEnd"/>
      <w:r w:rsidR="00C0795B">
        <w:rPr>
          <w:rFonts w:cstheme="minorHAnsi"/>
        </w:rPr>
        <w:t>.</w:t>
      </w:r>
    </w:p>
    <w:p w14:paraId="3B2BFD5D" w14:textId="6B4AA16F" w:rsidR="00397594" w:rsidRPr="00844BB4" w:rsidRDefault="008B3135" w:rsidP="00397594">
      <w:pPr>
        <w:ind w:left="360"/>
        <w:rPr>
          <w:rFonts w:cstheme="minorHAnsi"/>
        </w:rPr>
      </w:pPr>
      <w:r w:rsidRPr="00844BB4">
        <w:rPr>
          <w:rFonts w:cstheme="minorHAnsi"/>
        </w:rPr>
        <w:t xml:space="preserve">Commissioner </w:t>
      </w:r>
      <w:r w:rsidR="00C0795B">
        <w:rPr>
          <w:rFonts w:cstheme="minorHAnsi"/>
        </w:rPr>
        <w:t>Ximena Garcia</w:t>
      </w:r>
      <w:r w:rsidRPr="00844BB4">
        <w:rPr>
          <w:rFonts w:cstheme="minorHAnsi"/>
        </w:rPr>
        <w:t xml:space="preserve"> declared a s</w:t>
      </w:r>
      <w:r w:rsidR="00397594" w:rsidRPr="00844BB4">
        <w:rPr>
          <w:rFonts w:cstheme="minorHAnsi"/>
        </w:rPr>
        <w:t>econd</w:t>
      </w:r>
      <w:r w:rsidR="00BD480D">
        <w:rPr>
          <w:rFonts w:cstheme="minorHAnsi"/>
        </w:rPr>
        <w:t>.</w:t>
      </w:r>
    </w:p>
    <w:p w14:paraId="33076CE0" w14:textId="29200B73" w:rsidR="008B3135" w:rsidRDefault="00CC7199" w:rsidP="00397594">
      <w:pPr>
        <w:ind w:left="360"/>
        <w:rPr>
          <w:rFonts w:cstheme="minorHAnsi"/>
        </w:rPr>
      </w:pPr>
      <w:r w:rsidRPr="00844BB4">
        <w:rPr>
          <w:rFonts w:cstheme="minorHAnsi"/>
        </w:rPr>
        <w:t>The motion passed without opposition</w:t>
      </w:r>
      <w:r w:rsidR="00BD480D">
        <w:rPr>
          <w:rFonts w:cstheme="minorHAnsi"/>
        </w:rPr>
        <w:t>.</w:t>
      </w:r>
    </w:p>
    <w:p w14:paraId="3A992359" w14:textId="1FEDE500" w:rsidR="00BD480D" w:rsidRPr="00844BB4" w:rsidRDefault="00BD480D" w:rsidP="00397594">
      <w:pPr>
        <w:ind w:left="360"/>
        <w:rPr>
          <w:rFonts w:cstheme="minorHAnsi"/>
        </w:rPr>
      </w:pPr>
    </w:p>
    <w:p w14:paraId="360CC99E" w14:textId="51EFA882" w:rsidR="005B4CE9" w:rsidRPr="00844BB4" w:rsidRDefault="005B4CE9" w:rsidP="005B4CE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844BB4">
        <w:rPr>
          <w:rFonts w:cstheme="minorHAnsi"/>
          <w:b/>
          <w:bCs/>
        </w:rPr>
        <w:t>Approval of the Minutes from January 23, 2020</w:t>
      </w:r>
    </w:p>
    <w:p w14:paraId="7220769D" w14:textId="58408EBA" w:rsidR="005B4CE9" w:rsidRPr="00844BB4" w:rsidRDefault="005B4CE9" w:rsidP="005B4CE9">
      <w:pPr>
        <w:spacing w:after="0" w:line="240" w:lineRule="auto"/>
        <w:rPr>
          <w:rFonts w:cstheme="minorHAnsi"/>
        </w:rPr>
      </w:pPr>
    </w:p>
    <w:p w14:paraId="47CC1135" w14:textId="268F8769" w:rsidR="00CC7199" w:rsidRPr="00844BB4" w:rsidRDefault="00CC7199" w:rsidP="00CC7199">
      <w:pPr>
        <w:ind w:left="360"/>
        <w:rPr>
          <w:rFonts w:cstheme="minorHAnsi"/>
        </w:rPr>
      </w:pPr>
      <w:r w:rsidRPr="00844BB4">
        <w:rPr>
          <w:rFonts w:cstheme="minorHAnsi"/>
        </w:rPr>
        <w:t xml:space="preserve">There was a motion to approve the minutes from the January 23, 2020 meeting by </w:t>
      </w:r>
      <w:r w:rsidR="00BD480D">
        <w:rPr>
          <w:rFonts w:cstheme="minorHAnsi"/>
        </w:rPr>
        <w:t xml:space="preserve">Commissioner </w:t>
      </w:r>
      <w:r w:rsidR="00871062">
        <w:rPr>
          <w:rFonts w:cstheme="minorHAnsi"/>
        </w:rPr>
        <w:t>Ximenia Garcia</w:t>
      </w:r>
      <w:r w:rsidR="00BD480D">
        <w:rPr>
          <w:rFonts w:cstheme="minorHAnsi"/>
        </w:rPr>
        <w:t>.</w:t>
      </w:r>
    </w:p>
    <w:p w14:paraId="7ABCF205" w14:textId="03106216" w:rsidR="00CC7199" w:rsidRPr="00844BB4" w:rsidRDefault="00CC7199" w:rsidP="00CC7199">
      <w:pPr>
        <w:ind w:left="360"/>
        <w:rPr>
          <w:rFonts w:cstheme="minorHAnsi"/>
        </w:rPr>
      </w:pPr>
      <w:r w:rsidRPr="00844BB4">
        <w:rPr>
          <w:rFonts w:cstheme="minorHAnsi"/>
        </w:rPr>
        <w:t xml:space="preserve">Commissioner </w:t>
      </w:r>
      <w:r w:rsidR="00BD480D">
        <w:rPr>
          <w:rFonts w:cstheme="minorHAnsi"/>
        </w:rPr>
        <w:t xml:space="preserve">Steve </w:t>
      </w:r>
      <w:proofErr w:type="spellStart"/>
      <w:r w:rsidR="00871062">
        <w:rPr>
          <w:rFonts w:cstheme="minorHAnsi"/>
        </w:rPr>
        <w:t>Dechant</w:t>
      </w:r>
      <w:proofErr w:type="spellEnd"/>
      <w:r w:rsidRPr="00844BB4">
        <w:rPr>
          <w:rFonts w:cstheme="minorHAnsi"/>
        </w:rPr>
        <w:t xml:space="preserve"> declared a second</w:t>
      </w:r>
      <w:r w:rsidR="00BD480D">
        <w:rPr>
          <w:rFonts w:cstheme="minorHAnsi"/>
        </w:rPr>
        <w:t>.</w:t>
      </w:r>
    </w:p>
    <w:p w14:paraId="482F3151" w14:textId="4D63F273" w:rsidR="005B4CE9" w:rsidRPr="00844BB4" w:rsidRDefault="00CC7199" w:rsidP="00D558F1">
      <w:pPr>
        <w:ind w:left="360"/>
        <w:rPr>
          <w:rFonts w:cstheme="minorHAnsi"/>
        </w:rPr>
      </w:pPr>
      <w:r w:rsidRPr="00844BB4">
        <w:rPr>
          <w:rFonts w:cstheme="minorHAnsi"/>
        </w:rPr>
        <w:t>The motion passed without opposition</w:t>
      </w:r>
      <w:r w:rsidR="00BD480D">
        <w:rPr>
          <w:rFonts w:cstheme="minorHAnsi"/>
        </w:rPr>
        <w:t>.</w:t>
      </w:r>
    </w:p>
    <w:p w14:paraId="49DC350C" w14:textId="1FEBF596" w:rsidR="005B4CE9" w:rsidRPr="00844BB4" w:rsidRDefault="005B4CE9" w:rsidP="005B4CE9">
      <w:pPr>
        <w:spacing w:after="0" w:line="240" w:lineRule="auto"/>
        <w:rPr>
          <w:rFonts w:cstheme="minorHAnsi"/>
        </w:rPr>
      </w:pPr>
    </w:p>
    <w:p w14:paraId="3A39485F" w14:textId="77777777" w:rsidR="005B4CE9" w:rsidRPr="00844BB4" w:rsidRDefault="005B4CE9" w:rsidP="005B4CE9">
      <w:pPr>
        <w:spacing w:after="0" w:line="240" w:lineRule="auto"/>
        <w:rPr>
          <w:rFonts w:cstheme="minorHAnsi"/>
        </w:rPr>
      </w:pPr>
    </w:p>
    <w:p w14:paraId="3CC89C8D" w14:textId="22CE304E" w:rsidR="00194F0A" w:rsidRPr="00A537DB" w:rsidRDefault="00194F0A" w:rsidP="00194F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Consideration of the P</w:t>
      </w:r>
      <w:r w:rsidR="00FD5A8C">
        <w:rPr>
          <w:rFonts w:cstheme="minorHAnsi"/>
          <w:b/>
          <w:bCs/>
        </w:rPr>
        <w:t>referred</w:t>
      </w:r>
      <w:r w:rsidRPr="00A537DB">
        <w:rPr>
          <w:rFonts w:cstheme="minorHAnsi"/>
          <w:b/>
          <w:bCs/>
        </w:rPr>
        <w:t xml:space="preserve"> Lab Benefit RFP Award</w:t>
      </w:r>
    </w:p>
    <w:p w14:paraId="6ECF3828" w14:textId="542EA097" w:rsidR="00B7392B" w:rsidRPr="00844BB4" w:rsidRDefault="00B7392B" w:rsidP="00B7392B">
      <w:pPr>
        <w:spacing w:after="0" w:line="240" w:lineRule="auto"/>
        <w:rPr>
          <w:rFonts w:cstheme="minorHAnsi"/>
        </w:rPr>
      </w:pPr>
    </w:p>
    <w:p w14:paraId="1BD3B17A" w14:textId="5CDA7093" w:rsidR="00B7392B" w:rsidRPr="00622026" w:rsidRDefault="005C01D4" w:rsidP="009D2182">
      <w:pPr>
        <w:spacing w:after="0" w:line="240" w:lineRule="auto"/>
        <w:ind w:left="360"/>
        <w:rPr>
          <w:rFonts w:cstheme="minorHAnsi"/>
          <w:i/>
          <w:iCs/>
        </w:rPr>
      </w:pPr>
      <w:r>
        <w:rPr>
          <w:rFonts w:cstheme="minorHAnsi"/>
        </w:rPr>
        <w:t>Mike Michael, director of the SEHP, presented</w:t>
      </w:r>
      <w:r w:rsidR="00EA12E0">
        <w:rPr>
          <w:rFonts w:cstheme="minorHAnsi"/>
        </w:rPr>
        <w:t xml:space="preserve"> o</w:t>
      </w:r>
      <w:r w:rsidR="00FD5A8C">
        <w:rPr>
          <w:rFonts w:cstheme="minorHAnsi"/>
        </w:rPr>
        <w:t>n</w:t>
      </w:r>
      <w:r w:rsidR="00EA12E0">
        <w:rPr>
          <w:rFonts w:cstheme="minorHAnsi"/>
        </w:rPr>
        <w:t xml:space="preserve"> RFP efforts regarding the </w:t>
      </w:r>
      <w:r w:rsidR="002315E0">
        <w:rPr>
          <w:rFonts w:cstheme="minorHAnsi"/>
        </w:rPr>
        <w:t>Pharmacy Lab Benefit</w:t>
      </w:r>
      <w:r w:rsidR="003778AB">
        <w:rPr>
          <w:rFonts w:cstheme="minorHAnsi"/>
        </w:rPr>
        <w:t>.</w:t>
      </w:r>
      <w:r w:rsidR="00117B8D">
        <w:rPr>
          <w:rFonts w:cstheme="minorHAnsi"/>
        </w:rPr>
        <w:t xml:space="preserve"> </w:t>
      </w:r>
      <w:r w:rsidR="00622026" w:rsidRPr="00622026">
        <w:rPr>
          <w:rFonts w:cstheme="minorHAnsi"/>
          <w:i/>
          <w:iCs/>
        </w:rPr>
        <w:t>(Please reference attached memo from the SEHP staff)</w:t>
      </w:r>
    </w:p>
    <w:p w14:paraId="7257DE57" w14:textId="1DB959EF" w:rsidR="00FD5A8C" w:rsidRDefault="00FD5A8C" w:rsidP="009D2182">
      <w:pPr>
        <w:spacing w:after="0" w:line="240" w:lineRule="auto"/>
        <w:ind w:left="360"/>
        <w:rPr>
          <w:rFonts w:cstheme="minorHAnsi"/>
        </w:rPr>
      </w:pPr>
    </w:p>
    <w:p w14:paraId="513C69FF" w14:textId="4E911170" w:rsidR="00117B8D" w:rsidRDefault="00975571" w:rsidP="009D218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Commissioner </w:t>
      </w:r>
      <w:proofErr w:type="spellStart"/>
      <w:r>
        <w:rPr>
          <w:rFonts w:cstheme="minorHAnsi"/>
        </w:rPr>
        <w:t>Dechant</w:t>
      </w:r>
      <w:proofErr w:type="spellEnd"/>
      <w:r>
        <w:rPr>
          <w:rFonts w:cstheme="minorHAnsi"/>
        </w:rPr>
        <w:t xml:space="preserve"> inquired if there have been any issues</w:t>
      </w:r>
      <w:r w:rsidR="00A07BB1">
        <w:rPr>
          <w:rFonts w:cstheme="minorHAnsi"/>
        </w:rPr>
        <w:t xml:space="preserve"> with any of the providers over the years</w:t>
      </w:r>
      <w:r w:rsidR="006A5ECB">
        <w:rPr>
          <w:rFonts w:cstheme="minorHAnsi"/>
        </w:rPr>
        <w:t>.</w:t>
      </w:r>
    </w:p>
    <w:p w14:paraId="795F5A47" w14:textId="2E56C410" w:rsidR="00A07BB1" w:rsidRDefault="00A07BB1" w:rsidP="009D218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Mike Michael mentioned the issues have been few and far between, usually due to a delay for services</w:t>
      </w:r>
      <w:r w:rsidR="00CC4910">
        <w:rPr>
          <w:rFonts w:cstheme="minorHAnsi"/>
        </w:rPr>
        <w:t xml:space="preserve"> utilizing the courier service</w:t>
      </w:r>
      <w:r w:rsidR="006A5ECB">
        <w:rPr>
          <w:rFonts w:cstheme="minorHAnsi"/>
        </w:rPr>
        <w:t>.</w:t>
      </w:r>
    </w:p>
    <w:p w14:paraId="76277845" w14:textId="633DF21D" w:rsidR="00117B8D" w:rsidRDefault="00117B8D" w:rsidP="009D2182">
      <w:pPr>
        <w:spacing w:after="0" w:line="240" w:lineRule="auto"/>
        <w:ind w:left="360"/>
        <w:rPr>
          <w:rFonts w:cstheme="minorHAnsi"/>
        </w:rPr>
      </w:pPr>
    </w:p>
    <w:p w14:paraId="06CA218C" w14:textId="00CA652C" w:rsidR="00117B8D" w:rsidRDefault="00117B8D" w:rsidP="009D218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There was a motion to award the </w:t>
      </w:r>
      <w:r w:rsidR="00115291">
        <w:rPr>
          <w:rFonts w:cstheme="minorHAnsi"/>
        </w:rPr>
        <w:t xml:space="preserve">Pharmacy Lab Benefit </w:t>
      </w:r>
      <w:r w:rsidR="00A22B10">
        <w:rPr>
          <w:rFonts w:cstheme="minorHAnsi"/>
        </w:rPr>
        <w:t xml:space="preserve">to all three qualified </w:t>
      </w:r>
      <w:r w:rsidR="00D80793">
        <w:rPr>
          <w:rFonts w:cstheme="minorHAnsi"/>
        </w:rPr>
        <w:t>respondents</w:t>
      </w:r>
      <w:r w:rsidR="00A22B10">
        <w:rPr>
          <w:rFonts w:cstheme="minorHAnsi"/>
        </w:rPr>
        <w:t xml:space="preserve">: </w:t>
      </w:r>
      <w:r w:rsidR="00995B8E">
        <w:rPr>
          <w:rFonts w:cstheme="minorHAnsi"/>
        </w:rPr>
        <w:t>Quest Diagnostics, KU</w:t>
      </w:r>
      <w:r w:rsidR="00AD39A1">
        <w:rPr>
          <w:rFonts w:cstheme="minorHAnsi"/>
        </w:rPr>
        <w:t xml:space="preserve"> </w:t>
      </w:r>
      <w:r w:rsidR="006A5ECB">
        <w:rPr>
          <w:rFonts w:cstheme="minorHAnsi"/>
        </w:rPr>
        <w:t>H</w:t>
      </w:r>
      <w:r w:rsidR="00AD39A1">
        <w:rPr>
          <w:rFonts w:cstheme="minorHAnsi"/>
        </w:rPr>
        <w:t xml:space="preserve">ealth </w:t>
      </w:r>
      <w:r w:rsidR="006A5ECB">
        <w:rPr>
          <w:rFonts w:cstheme="minorHAnsi"/>
        </w:rPr>
        <w:t>S</w:t>
      </w:r>
      <w:r w:rsidR="00AD39A1">
        <w:rPr>
          <w:rFonts w:cstheme="minorHAnsi"/>
        </w:rPr>
        <w:t xml:space="preserve">ystem and </w:t>
      </w:r>
      <w:r w:rsidR="006A5ECB">
        <w:rPr>
          <w:rFonts w:cstheme="minorHAnsi"/>
        </w:rPr>
        <w:t>Stormont</w:t>
      </w:r>
      <w:r w:rsidR="00BB37EF">
        <w:rPr>
          <w:rFonts w:cstheme="minorHAnsi"/>
        </w:rPr>
        <w:t>-Vail Health System</w:t>
      </w:r>
      <w:r w:rsidR="0013706D">
        <w:rPr>
          <w:rFonts w:cstheme="minorHAnsi"/>
        </w:rPr>
        <w:t xml:space="preserve">, made by Commissioner </w:t>
      </w:r>
      <w:r w:rsidR="006A5ECB">
        <w:rPr>
          <w:rFonts w:cstheme="minorHAnsi"/>
        </w:rPr>
        <w:t xml:space="preserve">Heather </w:t>
      </w:r>
      <w:r w:rsidR="006E23D1">
        <w:rPr>
          <w:rFonts w:cstheme="minorHAnsi"/>
        </w:rPr>
        <w:t>Young</w:t>
      </w:r>
      <w:r w:rsidR="0013706D">
        <w:rPr>
          <w:rFonts w:cstheme="minorHAnsi"/>
        </w:rPr>
        <w:t>.</w:t>
      </w:r>
    </w:p>
    <w:p w14:paraId="47BF79AA" w14:textId="77777777" w:rsidR="006A5ECB" w:rsidRDefault="006A5ECB" w:rsidP="009D2182">
      <w:pPr>
        <w:spacing w:after="0" w:line="240" w:lineRule="auto"/>
        <w:ind w:left="360"/>
        <w:rPr>
          <w:rFonts w:cstheme="minorHAnsi"/>
        </w:rPr>
      </w:pPr>
    </w:p>
    <w:p w14:paraId="3124B43A" w14:textId="2E575DE2" w:rsidR="009334E8" w:rsidRDefault="0013706D" w:rsidP="006E23D1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Commissioner </w:t>
      </w:r>
      <w:r w:rsidR="006A5ECB">
        <w:rPr>
          <w:rFonts w:cstheme="minorHAnsi"/>
        </w:rPr>
        <w:t xml:space="preserve">Steve </w:t>
      </w:r>
      <w:proofErr w:type="spellStart"/>
      <w:r w:rsidR="00C36E44">
        <w:rPr>
          <w:rFonts w:cstheme="minorHAnsi"/>
        </w:rPr>
        <w:t>Dechant</w:t>
      </w:r>
      <w:proofErr w:type="spellEnd"/>
      <w:r>
        <w:rPr>
          <w:rFonts w:cstheme="minorHAnsi"/>
        </w:rPr>
        <w:t xml:space="preserve"> declared a second.</w:t>
      </w:r>
    </w:p>
    <w:p w14:paraId="2EF6D227" w14:textId="4DE8F2A4" w:rsidR="009334E8" w:rsidRDefault="009334E8" w:rsidP="009D2182">
      <w:pPr>
        <w:spacing w:after="0" w:line="240" w:lineRule="auto"/>
        <w:ind w:left="360"/>
        <w:rPr>
          <w:rFonts w:cstheme="minorHAnsi"/>
        </w:rPr>
      </w:pPr>
    </w:p>
    <w:p w14:paraId="304ED275" w14:textId="71A8AC59" w:rsidR="00B7392B" w:rsidRPr="00844BB4" w:rsidRDefault="00C548FC" w:rsidP="005A6B15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The motion passed without opposition.</w:t>
      </w:r>
    </w:p>
    <w:p w14:paraId="4024711D" w14:textId="5114357C" w:rsidR="00B7392B" w:rsidRPr="00844BB4" w:rsidRDefault="00B7392B" w:rsidP="00B7392B">
      <w:pPr>
        <w:spacing w:after="0" w:line="240" w:lineRule="auto"/>
        <w:rPr>
          <w:rFonts w:cstheme="minorHAnsi"/>
        </w:rPr>
      </w:pPr>
    </w:p>
    <w:p w14:paraId="0F54A89F" w14:textId="77777777" w:rsidR="00B7392B" w:rsidRPr="00844BB4" w:rsidRDefault="00B7392B" w:rsidP="00B7392B">
      <w:pPr>
        <w:spacing w:after="0" w:line="240" w:lineRule="auto"/>
        <w:rPr>
          <w:rFonts w:cstheme="minorHAnsi"/>
        </w:rPr>
      </w:pPr>
    </w:p>
    <w:p w14:paraId="29837178" w14:textId="77777777" w:rsidR="00B7392B" w:rsidRPr="00A537DB" w:rsidRDefault="00B7392B" w:rsidP="00B7392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Consideration of the Employee Advisory Committee (EAC) By-Laws</w:t>
      </w:r>
    </w:p>
    <w:p w14:paraId="0C0C0995" w14:textId="45DC1DB6" w:rsidR="00CE076A" w:rsidRPr="00844BB4" w:rsidRDefault="00CE076A" w:rsidP="00B7392B">
      <w:pPr>
        <w:pStyle w:val="ListParagraph"/>
        <w:rPr>
          <w:rFonts w:cstheme="minorHAnsi"/>
          <w:b/>
          <w:bCs/>
        </w:rPr>
      </w:pPr>
    </w:p>
    <w:p w14:paraId="286C9F5E" w14:textId="2AA0B486" w:rsidR="00B7392B" w:rsidRDefault="00340E63" w:rsidP="00B7392B">
      <w:pPr>
        <w:pStyle w:val="ListParagraph"/>
        <w:rPr>
          <w:rFonts w:cstheme="minorHAnsi"/>
        </w:rPr>
      </w:pPr>
      <w:r>
        <w:rPr>
          <w:rFonts w:cstheme="minorHAnsi"/>
        </w:rPr>
        <w:t>Natalie Yo</w:t>
      </w:r>
      <w:r w:rsidR="000D610E">
        <w:rPr>
          <w:rFonts w:cstheme="minorHAnsi"/>
        </w:rPr>
        <w:t>za</w:t>
      </w:r>
      <w:r w:rsidR="005B6292" w:rsidRPr="007265A3">
        <w:rPr>
          <w:rFonts w:cstheme="minorHAnsi"/>
        </w:rPr>
        <w:t>, chair of the EAC, presented on proposed bylaw changes to the EAC</w:t>
      </w:r>
      <w:r w:rsidR="00331493">
        <w:rPr>
          <w:rFonts w:cstheme="minorHAnsi"/>
        </w:rPr>
        <w:t>, including</w:t>
      </w:r>
      <w:r w:rsidR="001B6B91">
        <w:rPr>
          <w:rFonts w:cstheme="minorHAnsi"/>
        </w:rPr>
        <w:t>:</w:t>
      </w:r>
    </w:p>
    <w:p w14:paraId="40666DE0" w14:textId="4EF691D1" w:rsidR="00867241" w:rsidRDefault="001B6B91" w:rsidP="001B6B9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</w:t>
      </w:r>
      <w:r w:rsidR="00867241">
        <w:rPr>
          <w:rFonts w:cstheme="minorHAnsi"/>
        </w:rPr>
        <w:t>erm limits for active employee</w:t>
      </w:r>
      <w:r w:rsidR="00111FC9">
        <w:rPr>
          <w:rFonts w:cstheme="minorHAnsi"/>
        </w:rPr>
        <w:t xml:space="preserve"> seats</w:t>
      </w:r>
    </w:p>
    <w:p w14:paraId="283EAD37" w14:textId="56CC8B90" w:rsidR="00111FC9" w:rsidRDefault="00111FC9" w:rsidP="001B6B9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Limits the length of time an officer can serve in a leadership role</w:t>
      </w:r>
    </w:p>
    <w:p w14:paraId="0012F6BF" w14:textId="7BF087C7" w:rsidR="00111FC9" w:rsidRDefault="0020419F" w:rsidP="001B6B9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Specifies the selection process for members</w:t>
      </w:r>
    </w:p>
    <w:p w14:paraId="5595D733" w14:textId="1B232AD2" w:rsidR="0020419F" w:rsidRDefault="0020419F" w:rsidP="001B6B9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Adds a conflict of interest</w:t>
      </w:r>
      <w:r w:rsidR="00B553AB">
        <w:rPr>
          <w:rFonts w:cstheme="minorHAnsi"/>
        </w:rPr>
        <w:t xml:space="preserve"> section</w:t>
      </w:r>
    </w:p>
    <w:p w14:paraId="2F2E7974" w14:textId="24F635B4" w:rsidR="002D7966" w:rsidRDefault="002D7966" w:rsidP="00B7392B">
      <w:pPr>
        <w:pStyle w:val="ListParagraph"/>
        <w:rPr>
          <w:rFonts w:cstheme="minorHAnsi"/>
        </w:rPr>
      </w:pPr>
    </w:p>
    <w:p w14:paraId="1476F6B6" w14:textId="4E0F245C" w:rsidR="002D7966" w:rsidRDefault="002D7966" w:rsidP="00B7392B">
      <w:pPr>
        <w:pStyle w:val="ListParagraph"/>
        <w:rPr>
          <w:rFonts w:cstheme="minorHAnsi"/>
        </w:rPr>
      </w:pPr>
      <w:r>
        <w:rPr>
          <w:rFonts w:cstheme="minorHAnsi"/>
        </w:rPr>
        <w:t xml:space="preserve">Discussion: </w:t>
      </w:r>
      <w:r w:rsidR="00D4536C">
        <w:rPr>
          <w:rFonts w:cstheme="minorHAnsi"/>
        </w:rPr>
        <w:t xml:space="preserve">Commissioner </w:t>
      </w:r>
      <w:proofErr w:type="spellStart"/>
      <w:r w:rsidR="00D4536C">
        <w:rPr>
          <w:rFonts w:cstheme="minorHAnsi"/>
        </w:rPr>
        <w:t>Dechant</w:t>
      </w:r>
      <w:proofErr w:type="spellEnd"/>
      <w:r w:rsidR="00D4536C">
        <w:rPr>
          <w:rFonts w:cstheme="minorHAnsi"/>
        </w:rPr>
        <w:t xml:space="preserve"> asked how the new diversity suggestion of </w:t>
      </w:r>
      <w:r w:rsidR="00B55B56">
        <w:rPr>
          <w:rFonts w:cstheme="minorHAnsi"/>
        </w:rPr>
        <w:t>employee representation from all three branches</w:t>
      </w:r>
      <w:r w:rsidR="00930F6D">
        <w:rPr>
          <w:rFonts w:cstheme="minorHAnsi"/>
        </w:rPr>
        <w:t xml:space="preserve"> as that is beneficial for the committee and </w:t>
      </w:r>
      <w:r w:rsidR="00177F93">
        <w:rPr>
          <w:rFonts w:cstheme="minorHAnsi"/>
        </w:rPr>
        <w:t>feedback</w:t>
      </w:r>
    </w:p>
    <w:p w14:paraId="35F2C3DA" w14:textId="3D504149" w:rsidR="00177F93" w:rsidRDefault="00177F93" w:rsidP="00B7392B">
      <w:pPr>
        <w:pStyle w:val="ListParagraph"/>
        <w:rPr>
          <w:rFonts w:cstheme="minorHAnsi"/>
        </w:rPr>
      </w:pPr>
    </w:p>
    <w:p w14:paraId="4AE5651C" w14:textId="278F2149" w:rsidR="00177F93" w:rsidRDefault="00177F93" w:rsidP="00B7392B">
      <w:pPr>
        <w:pStyle w:val="ListParagraph"/>
        <w:rPr>
          <w:rFonts w:cstheme="minorHAnsi"/>
        </w:rPr>
      </w:pPr>
      <w:r>
        <w:rPr>
          <w:rFonts w:cstheme="minorHAnsi"/>
        </w:rPr>
        <w:t xml:space="preserve">Chair Burns-Wallace expressed </w:t>
      </w:r>
      <w:r w:rsidR="00907F7E">
        <w:rPr>
          <w:rFonts w:cstheme="minorHAnsi"/>
        </w:rPr>
        <w:t>concerns around three</w:t>
      </w:r>
      <w:r w:rsidR="001B6B91">
        <w:rPr>
          <w:rFonts w:cstheme="minorHAnsi"/>
        </w:rPr>
        <w:t>,</w:t>
      </w:r>
      <w:r w:rsidR="00907F7E">
        <w:rPr>
          <w:rFonts w:cstheme="minorHAnsi"/>
        </w:rPr>
        <w:t xml:space="preserve"> three-year term limits</w:t>
      </w:r>
      <w:r w:rsidR="009707AF">
        <w:rPr>
          <w:rFonts w:cstheme="minorHAnsi"/>
        </w:rPr>
        <w:t xml:space="preserve"> and stated that she would be more comfortable with two</w:t>
      </w:r>
      <w:r w:rsidR="001B6B91">
        <w:rPr>
          <w:rFonts w:cstheme="minorHAnsi"/>
        </w:rPr>
        <w:t>,</w:t>
      </w:r>
      <w:r w:rsidR="009707AF">
        <w:rPr>
          <w:rFonts w:cstheme="minorHAnsi"/>
        </w:rPr>
        <w:t xml:space="preserve"> three-year terms.</w:t>
      </w:r>
    </w:p>
    <w:p w14:paraId="1B52AF71" w14:textId="4E2137A0" w:rsidR="00B57EE8" w:rsidRDefault="00B57EE8" w:rsidP="00B7392B">
      <w:pPr>
        <w:pStyle w:val="ListParagraph"/>
        <w:rPr>
          <w:rFonts w:cstheme="minorHAnsi"/>
        </w:rPr>
      </w:pPr>
    </w:p>
    <w:p w14:paraId="6B5FCA17" w14:textId="79FECCE0" w:rsidR="00B57EE8" w:rsidRDefault="00B57EE8" w:rsidP="00B7392B">
      <w:pPr>
        <w:pStyle w:val="ListParagraph"/>
        <w:rPr>
          <w:rFonts w:cstheme="minorHAnsi"/>
        </w:rPr>
      </w:pPr>
      <w:r>
        <w:rPr>
          <w:rFonts w:cstheme="minorHAnsi"/>
        </w:rPr>
        <w:t xml:space="preserve">Natalie Yoza </w:t>
      </w:r>
      <w:r w:rsidR="00F9724C">
        <w:rPr>
          <w:rFonts w:cstheme="minorHAnsi"/>
        </w:rPr>
        <w:t>recapped the debate of the EAC meeting, including the value of historical knowledge of th</w:t>
      </w:r>
      <w:r w:rsidR="00EA7EA0">
        <w:rPr>
          <w:rFonts w:cstheme="minorHAnsi"/>
        </w:rPr>
        <w:t xml:space="preserve">ose that sit on the board. </w:t>
      </w:r>
    </w:p>
    <w:p w14:paraId="3F06A87C" w14:textId="7D7A614E" w:rsidR="00E837DE" w:rsidRDefault="00E837DE" w:rsidP="00B7392B">
      <w:pPr>
        <w:pStyle w:val="ListParagraph"/>
        <w:rPr>
          <w:rFonts w:cstheme="minorHAnsi"/>
        </w:rPr>
      </w:pPr>
    </w:p>
    <w:p w14:paraId="5AF3D962" w14:textId="32DE8E45" w:rsidR="00E837DE" w:rsidRPr="007265A3" w:rsidRDefault="00E837DE" w:rsidP="00B7392B">
      <w:pPr>
        <w:pStyle w:val="ListParagraph"/>
        <w:rPr>
          <w:rFonts w:cstheme="minorHAnsi"/>
        </w:rPr>
      </w:pPr>
      <w:r>
        <w:rPr>
          <w:rFonts w:cstheme="minorHAnsi"/>
        </w:rPr>
        <w:t xml:space="preserve">Commissioner </w:t>
      </w:r>
      <w:proofErr w:type="spellStart"/>
      <w:r>
        <w:rPr>
          <w:rFonts w:cstheme="minorHAnsi"/>
        </w:rPr>
        <w:t>Dechant</w:t>
      </w:r>
      <w:proofErr w:type="spellEnd"/>
      <w:r>
        <w:rPr>
          <w:rFonts w:cstheme="minorHAnsi"/>
        </w:rPr>
        <w:t xml:space="preserve"> </w:t>
      </w:r>
      <w:r w:rsidR="0025364C">
        <w:rPr>
          <w:rFonts w:cstheme="minorHAnsi"/>
        </w:rPr>
        <w:t xml:space="preserve">mentioned he thought the term recommendation of three terms is appropriate considering </w:t>
      </w:r>
      <w:r w:rsidR="009728F6">
        <w:rPr>
          <w:rFonts w:cstheme="minorHAnsi"/>
        </w:rPr>
        <w:t>the group only meets two to three times per year</w:t>
      </w:r>
      <w:r w:rsidR="008B65C1">
        <w:rPr>
          <w:rFonts w:cstheme="minorHAnsi"/>
        </w:rPr>
        <w:t xml:space="preserve">. He </w:t>
      </w:r>
      <w:r w:rsidR="00CA2266">
        <w:rPr>
          <w:rFonts w:cstheme="minorHAnsi"/>
        </w:rPr>
        <w:t>informed the board that he values the EAC greatly as he served as both an active representative as well as a retired employee representative before being appointed to the board.</w:t>
      </w:r>
    </w:p>
    <w:p w14:paraId="6DAAD4D3" w14:textId="4DB38BB4" w:rsidR="00827A56" w:rsidRPr="007265A3" w:rsidRDefault="00827A56" w:rsidP="00B7392B">
      <w:pPr>
        <w:pStyle w:val="ListParagraph"/>
        <w:rPr>
          <w:rFonts w:cstheme="minorHAnsi"/>
        </w:rPr>
      </w:pPr>
    </w:p>
    <w:p w14:paraId="7C034557" w14:textId="3201FEB8" w:rsidR="00827A56" w:rsidRPr="007265A3" w:rsidRDefault="00507A66" w:rsidP="00B7392B">
      <w:pPr>
        <w:pStyle w:val="ListParagraph"/>
        <w:rPr>
          <w:rFonts w:cstheme="minorHAnsi"/>
        </w:rPr>
      </w:pPr>
      <w:r w:rsidRPr="007265A3">
        <w:rPr>
          <w:rFonts w:cstheme="minorHAnsi"/>
        </w:rPr>
        <w:t xml:space="preserve">There was a motion to approve suggested changes to the EAC bylaws </w:t>
      </w:r>
      <w:r w:rsidR="00CA2266">
        <w:rPr>
          <w:rFonts w:cstheme="minorHAnsi"/>
        </w:rPr>
        <w:t xml:space="preserve">as presented </w:t>
      </w:r>
      <w:r w:rsidR="004F4413" w:rsidRPr="007265A3">
        <w:rPr>
          <w:rFonts w:cstheme="minorHAnsi"/>
        </w:rPr>
        <w:t xml:space="preserve">made by Commissioner </w:t>
      </w:r>
      <w:proofErr w:type="spellStart"/>
      <w:r w:rsidR="00CA2266">
        <w:rPr>
          <w:rFonts w:cstheme="minorHAnsi"/>
        </w:rPr>
        <w:t>Dechant</w:t>
      </w:r>
      <w:proofErr w:type="spellEnd"/>
      <w:r w:rsidR="004F4413" w:rsidRPr="007265A3">
        <w:rPr>
          <w:rFonts w:cstheme="minorHAnsi"/>
        </w:rPr>
        <w:t>.</w:t>
      </w:r>
    </w:p>
    <w:p w14:paraId="6123B2DF" w14:textId="3191FB11" w:rsidR="00157318" w:rsidRPr="007265A3" w:rsidRDefault="00157318" w:rsidP="00B7392B">
      <w:pPr>
        <w:pStyle w:val="ListParagraph"/>
        <w:rPr>
          <w:rFonts w:cstheme="minorHAnsi"/>
        </w:rPr>
      </w:pPr>
    </w:p>
    <w:p w14:paraId="485994CA" w14:textId="25A304FC" w:rsidR="00157318" w:rsidRPr="007265A3" w:rsidRDefault="00157318" w:rsidP="00B7392B">
      <w:pPr>
        <w:pStyle w:val="ListParagraph"/>
        <w:rPr>
          <w:rFonts w:cstheme="minorHAnsi"/>
        </w:rPr>
      </w:pPr>
      <w:r w:rsidRPr="007265A3">
        <w:rPr>
          <w:rFonts w:cstheme="minorHAnsi"/>
        </w:rPr>
        <w:t xml:space="preserve">There was a second declared by Commissioner </w:t>
      </w:r>
      <w:r w:rsidR="00CA2266">
        <w:rPr>
          <w:rFonts w:cstheme="minorHAnsi"/>
        </w:rPr>
        <w:t>Garcia</w:t>
      </w:r>
      <w:r w:rsidRPr="007265A3">
        <w:rPr>
          <w:rFonts w:cstheme="minorHAnsi"/>
        </w:rPr>
        <w:t>.</w:t>
      </w:r>
    </w:p>
    <w:p w14:paraId="3E84E1CD" w14:textId="0AD75276" w:rsidR="00157318" w:rsidRPr="007265A3" w:rsidRDefault="00157318" w:rsidP="00B7392B">
      <w:pPr>
        <w:pStyle w:val="ListParagraph"/>
        <w:rPr>
          <w:rFonts w:cstheme="minorHAnsi"/>
        </w:rPr>
      </w:pPr>
    </w:p>
    <w:p w14:paraId="419938ED" w14:textId="5AF9C00A" w:rsidR="00157318" w:rsidRPr="007265A3" w:rsidRDefault="007265A3" w:rsidP="00B7392B">
      <w:pPr>
        <w:pStyle w:val="ListParagraph"/>
        <w:rPr>
          <w:rFonts w:cstheme="minorHAnsi"/>
        </w:rPr>
      </w:pPr>
      <w:r w:rsidRPr="007265A3">
        <w:rPr>
          <w:rFonts w:cstheme="minorHAnsi"/>
        </w:rPr>
        <w:t>The motion passed without opposition.</w:t>
      </w:r>
    </w:p>
    <w:p w14:paraId="747D07F7" w14:textId="4D092777" w:rsidR="005A6B15" w:rsidRDefault="005A6B15" w:rsidP="00B7392B">
      <w:pPr>
        <w:pStyle w:val="ListParagraph"/>
        <w:rPr>
          <w:rFonts w:cstheme="minorHAnsi"/>
          <w:b/>
          <w:bCs/>
        </w:rPr>
      </w:pPr>
    </w:p>
    <w:p w14:paraId="1C12D66F" w14:textId="1C06166B" w:rsidR="00B7392B" w:rsidRPr="00844BB4" w:rsidRDefault="00B7392B" w:rsidP="00B7392B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REPORTS</w:t>
      </w:r>
    </w:p>
    <w:p w14:paraId="475E9A6F" w14:textId="08A4B737" w:rsidR="00817FA9" w:rsidRDefault="00817FA9" w:rsidP="00817FA9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 xml:space="preserve">Employee Advisory Committee Report </w:t>
      </w:r>
    </w:p>
    <w:p w14:paraId="32157C7E" w14:textId="0633419B" w:rsidR="00A537DB" w:rsidRDefault="00A537DB" w:rsidP="00A537DB">
      <w:pPr>
        <w:spacing w:after="0" w:line="240" w:lineRule="auto"/>
        <w:ind w:right="1440"/>
        <w:rPr>
          <w:rFonts w:cstheme="minorHAnsi"/>
          <w:b/>
          <w:bCs/>
        </w:rPr>
      </w:pPr>
    </w:p>
    <w:p w14:paraId="77688DEE" w14:textId="5552FE5F" w:rsidR="00A537DB" w:rsidRDefault="00CA2266" w:rsidP="007265A3">
      <w:pPr>
        <w:spacing w:after="0" w:line="240" w:lineRule="auto"/>
        <w:ind w:left="360" w:right="1440"/>
        <w:rPr>
          <w:rFonts w:cstheme="minorHAnsi"/>
          <w:b/>
          <w:bCs/>
        </w:rPr>
      </w:pPr>
      <w:r>
        <w:rPr>
          <w:rFonts w:cstheme="minorHAnsi"/>
          <w:b/>
          <w:bCs/>
        </w:rPr>
        <w:t>Natalie Yoza</w:t>
      </w:r>
      <w:r w:rsidR="007265A3">
        <w:rPr>
          <w:rFonts w:cstheme="minorHAnsi"/>
          <w:b/>
          <w:bCs/>
        </w:rPr>
        <w:t xml:space="preserve">, chair of the EAC, presented a summary of the most recent EAC </w:t>
      </w:r>
      <w:r w:rsidR="00674229">
        <w:rPr>
          <w:rFonts w:cstheme="minorHAnsi"/>
          <w:b/>
          <w:bCs/>
        </w:rPr>
        <w:t>meeting.</w:t>
      </w:r>
    </w:p>
    <w:p w14:paraId="6F3D9FC8" w14:textId="2A27B0D9" w:rsidR="00674229" w:rsidRDefault="00674229" w:rsidP="007265A3">
      <w:pPr>
        <w:spacing w:after="0" w:line="240" w:lineRule="auto"/>
        <w:ind w:left="360" w:right="1440"/>
        <w:rPr>
          <w:rFonts w:cstheme="minorHAnsi"/>
          <w:b/>
          <w:bCs/>
        </w:rPr>
      </w:pPr>
    </w:p>
    <w:p w14:paraId="4FB82B9B" w14:textId="3B397A77" w:rsidR="00674229" w:rsidRPr="009046A4" w:rsidRDefault="00E36E43" w:rsidP="007265A3">
      <w:pPr>
        <w:spacing w:after="0" w:line="240" w:lineRule="auto"/>
        <w:ind w:left="360" w:right="1440"/>
        <w:rPr>
          <w:rFonts w:cstheme="minorHAnsi"/>
        </w:rPr>
      </w:pPr>
      <w:r w:rsidRPr="009046A4">
        <w:rPr>
          <w:rFonts w:cstheme="minorHAnsi"/>
        </w:rPr>
        <w:t>Met on Jan. 10</w:t>
      </w:r>
      <w:r w:rsidR="001904EB" w:rsidRPr="009046A4">
        <w:rPr>
          <w:rFonts w:cstheme="minorHAnsi"/>
        </w:rPr>
        <w:t>. First order of business was to elect new leadership</w:t>
      </w:r>
      <w:r w:rsidR="00CD6564">
        <w:rPr>
          <w:rFonts w:cstheme="minorHAnsi"/>
        </w:rPr>
        <w:t>:</w:t>
      </w:r>
    </w:p>
    <w:p w14:paraId="1CF32920" w14:textId="431FA8B2" w:rsidR="00622220" w:rsidRPr="00CD6564" w:rsidRDefault="00622220" w:rsidP="00CD6564">
      <w:pPr>
        <w:pStyle w:val="ListParagraph"/>
        <w:numPr>
          <w:ilvl w:val="0"/>
          <w:numId w:val="10"/>
        </w:numPr>
        <w:spacing w:after="0" w:line="240" w:lineRule="auto"/>
        <w:ind w:right="1440"/>
        <w:rPr>
          <w:rFonts w:cstheme="minorHAnsi"/>
        </w:rPr>
      </w:pPr>
      <w:r w:rsidRPr="00CD6564">
        <w:rPr>
          <w:rFonts w:cstheme="minorHAnsi"/>
        </w:rPr>
        <w:t>President is Natalie Yoza</w:t>
      </w:r>
    </w:p>
    <w:p w14:paraId="30979399" w14:textId="64E01A3C" w:rsidR="00622220" w:rsidRPr="00CD6564" w:rsidRDefault="00622220" w:rsidP="00CD6564">
      <w:pPr>
        <w:pStyle w:val="ListParagraph"/>
        <w:numPr>
          <w:ilvl w:val="0"/>
          <w:numId w:val="10"/>
        </w:numPr>
        <w:spacing w:after="0" w:line="240" w:lineRule="auto"/>
        <w:ind w:right="1440"/>
        <w:rPr>
          <w:rFonts w:cstheme="minorHAnsi"/>
        </w:rPr>
      </w:pPr>
      <w:r w:rsidRPr="00CD6564">
        <w:rPr>
          <w:rFonts w:cstheme="minorHAnsi"/>
        </w:rPr>
        <w:t>VP is Charlie Walker</w:t>
      </w:r>
      <w:r w:rsidR="005215BC" w:rsidRPr="00CD6564">
        <w:rPr>
          <w:rFonts w:cstheme="minorHAnsi"/>
        </w:rPr>
        <w:t>, Contract Specialist from KU</w:t>
      </w:r>
    </w:p>
    <w:p w14:paraId="4704766D" w14:textId="6BF56723" w:rsidR="00A3101A" w:rsidRPr="00CD6564" w:rsidRDefault="00A3101A" w:rsidP="00CD6564">
      <w:pPr>
        <w:pStyle w:val="ListParagraph"/>
        <w:numPr>
          <w:ilvl w:val="0"/>
          <w:numId w:val="10"/>
        </w:numPr>
        <w:spacing w:after="0" w:line="240" w:lineRule="auto"/>
        <w:ind w:right="1440"/>
        <w:rPr>
          <w:rFonts w:cstheme="minorHAnsi"/>
        </w:rPr>
      </w:pPr>
      <w:r w:rsidRPr="00CD6564">
        <w:rPr>
          <w:rFonts w:cstheme="minorHAnsi"/>
        </w:rPr>
        <w:t>Secretary is Alexandra Blasi</w:t>
      </w:r>
      <w:r w:rsidR="00BD4435" w:rsidRPr="00CD6564">
        <w:rPr>
          <w:rFonts w:cstheme="minorHAnsi"/>
        </w:rPr>
        <w:t>, Executive Director of the Board of Pharmacy</w:t>
      </w:r>
    </w:p>
    <w:p w14:paraId="2FA1B4BD" w14:textId="77777777" w:rsidR="00CD6564" w:rsidRDefault="00CD6564" w:rsidP="007265A3">
      <w:pPr>
        <w:spacing w:after="0" w:line="240" w:lineRule="auto"/>
        <w:ind w:left="360" w:right="1440"/>
        <w:rPr>
          <w:rFonts w:cstheme="minorHAnsi"/>
        </w:rPr>
      </w:pPr>
    </w:p>
    <w:p w14:paraId="4082A7BF" w14:textId="699F937E" w:rsidR="009046A4" w:rsidRPr="009046A4" w:rsidRDefault="009046A4" w:rsidP="007265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 xml:space="preserve">They also established </w:t>
      </w:r>
      <w:r w:rsidR="00254981">
        <w:rPr>
          <w:rFonts w:cstheme="minorHAnsi"/>
        </w:rPr>
        <w:t>a five-member subcommittee focused on communications</w:t>
      </w:r>
      <w:r w:rsidR="00CD6564">
        <w:rPr>
          <w:rFonts w:cstheme="minorHAnsi"/>
        </w:rPr>
        <w:t>.</w:t>
      </w:r>
    </w:p>
    <w:p w14:paraId="7539B916" w14:textId="427E8611" w:rsidR="00674229" w:rsidRDefault="00674229" w:rsidP="007265A3">
      <w:pPr>
        <w:spacing w:after="0" w:line="240" w:lineRule="auto"/>
        <w:ind w:left="360" w:right="1440"/>
        <w:rPr>
          <w:rFonts w:cstheme="minorHAnsi"/>
          <w:b/>
          <w:bCs/>
        </w:rPr>
      </w:pPr>
    </w:p>
    <w:p w14:paraId="6D12938F" w14:textId="145C3462" w:rsidR="00E3423D" w:rsidRPr="00A537DB" w:rsidRDefault="00E3423D" w:rsidP="00E3423D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cstheme="minorHAnsi"/>
          <w:b/>
          <w:bCs/>
          <w:u w:val="single"/>
        </w:rPr>
      </w:pPr>
      <w:r w:rsidRPr="00A537DB">
        <w:rPr>
          <w:rFonts w:cstheme="minorHAnsi"/>
          <w:b/>
          <w:bCs/>
        </w:rPr>
        <w:lastRenderedPageBreak/>
        <w:t xml:space="preserve">Contracts Report for Pending RFPs </w:t>
      </w:r>
    </w:p>
    <w:p w14:paraId="30524594" w14:textId="425DD7BA" w:rsidR="002224F9" w:rsidRPr="00AB6BA3" w:rsidRDefault="00AB6BA3" w:rsidP="00674229">
      <w:pPr>
        <w:spacing w:after="0" w:line="240" w:lineRule="auto"/>
        <w:ind w:left="360" w:right="1440"/>
        <w:rPr>
          <w:rFonts w:cstheme="minorHAnsi"/>
          <w:bCs/>
        </w:rPr>
      </w:pPr>
      <w:r w:rsidRPr="00AB6BA3">
        <w:rPr>
          <w:rFonts w:cstheme="minorHAnsi"/>
          <w:bCs/>
        </w:rPr>
        <w:t>Mike Michael reviewed the status of various contracts regarding the SEHP</w:t>
      </w:r>
      <w:r w:rsidR="00EB1F47">
        <w:rPr>
          <w:rFonts w:cstheme="minorHAnsi"/>
          <w:bCs/>
        </w:rPr>
        <w:t xml:space="preserve"> (see associated memo)</w:t>
      </w:r>
    </w:p>
    <w:p w14:paraId="121520D7" w14:textId="3E2DF788" w:rsidR="00AB6BA3" w:rsidRDefault="00AB6BA3" w:rsidP="00674229">
      <w:pPr>
        <w:spacing w:after="0" w:line="240" w:lineRule="auto"/>
        <w:ind w:left="360" w:right="1440"/>
        <w:rPr>
          <w:rFonts w:cstheme="minorHAnsi"/>
          <w:b/>
          <w:u w:val="single"/>
        </w:rPr>
      </w:pPr>
    </w:p>
    <w:p w14:paraId="2BA8ECCD" w14:textId="2EABD632" w:rsidR="00B1031A" w:rsidRPr="00B1031A" w:rsidRDefault="00B1031A" w:rsidP="00674229">
      <w:pPr>
        <w:spacing w:after="0" w:line="240" w:lineRule="auto"/>
        <w:ind w:left="360" w:right="1440"/>
        <w:rPr>
          <w:rFonts w:cstheme="minorHAnsi"/>
          <w:bCs/>
        </w:rPr>
      </w:pPr>
      <w:r w:rsidRPr="00B1031A">
        <w:rPr>
          <w:rFonts w:cstheme="minorHAnsi"/>
          <w:bCs/>
        </w:rPr>
        <w:t xml:space="preserve">Commissioner </w:t>
      </w:r>
      <w:proofErr w:type="spellStart"/>
      <w:r w:rsidRPr="00B1031A">
        <w:rPr>
          <w:rFonts w:cstheme="minorHAnsi"/>
          <w:bCs/>
        </w:rPr>
        <w:t>Dechant</w:t>
      </w:r>
      <w:proofErr w:type="spellEnd"/>
      <w:r w:rsidRPr="00B1031A">
        <w:rPr>
          <w:rFonts w:cstheme="minorHAnsi"/>
          <w:bCs/>
        </w:rPr>
        <w:t xml:space="preserve"> asked if any conversations surrounding Medicare Part D would be pertinent to the plan year 2021 discussions</w:t>
      </w:r>
      <w:r w:rsidR="00CD6564">
        <w:rPr>
          <w:rFonts w:cstheme="minorHAnsi"/>
          <w:bCs/>
        </w:rPr>
        <w:t>.</w:t>
      </w:r>
    </w:p>
    <w:p w14:paraId="50E0010D" w14:textId="2A64D860" w:rsidR="00AB6BA3" w:rsidRDefault="00AB6BA3" w:rsidP="00674229">
      <w:pPr>
        <w:spacing w:after="0" w:line="240" w:lineRule="auto"/>
        <w:ind w:left="360" w:right="1440"/>
        <w:rPr>
          <w:rFonts w:cstheme="minorHAnsi"/>
          <w:b/>
          <w:u w:val="single"/>
        </w:rPr>
      </w:pPr>
    </w:p>
    <w:p w14:paraId="79CD9C6F" w14:textId="1CA0A2FB" w:rsidR="00B1031A" w:rsidRPr="00CD6564" w:rsidRDefault="00A127C2" w:rsidP="00674229">
      <w:pPr>
        <w:spacing w:after="0" w:line="240" w:lineRule="auto"/>
        <w:ind w:left="360" w:right="1440"/>
        <w:rPr>
          <w:rFonts w:cstheme="minorHAnsi"/>
          <w:bCs/>
        </w:rPr>
      </w:pPr>
      <w:r w:rsidRPr="00CD6564">
        <w:rPr>
          <w:rFonts w:cstheme="minorHAnsi"/>
          <w:bCs/>
        </w:rPr>
        <w:t>Mike Michael suggested we will look at multiple plan designs surrounding Medicare members and plan to discuss at the August meeting in greater detail.</w:t>
      </w:r>
    </w:p>
    <w:p w14:paraId="40AD7364" w14:textId="77777777" w:rsidR="00AB6BA3" w:rsidRPr="00844BB4" w:rsidRDefault="00AB6BA3" w:rsidP="00674229">
      <w:pPr>
        <w:spacing w:after="0" w:line="240" w:lineRule="auto"/>
        <w:ind w:left="360" w:right="1440"/>
        <w:rPr>
          <w:rFonts w:cstheme="minorHAnsi"/>
          <w:b/>
          <w:u w:val="single"/>
        </w:rPr>
      </w:pPr>
    </w:p>
    <w:p w14:paraId="4D16A08F" w14:textId="2185FC70" w:rsidR="00EC2817" w:rsidRPr="00A537DB" w:rsidRDefault="00EC2817" w:rsidP="00EC2817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cstheme="minorHAnsi"/>
          <w:b/>
          <w:bCs/>
          <w:u w:val="single"/>
        </w:rPr>
      </w:pPr>
      <w:r w:rsidRPr="00A537DB">
        <w:rPr>
          <w:rFonts w:cstheme="minorHAnsi"/>
          <w:b/>
          <w:bCs/>
        </w:rPr>
        <w:t>Finance Report – Segal</w:t>
      </w:r>
    </w:p>
    <w:p w14:paraId="2C32211E" w14:textId="7457656F" w:rsidR="002224F9" w:rsidRPr="00AB6BA3" w:rsidRDefault="007824AD" w:rsidP="00AB6BA3">
      <w:pPr>
        <w:spacing w:after="0" w:line="240" w:lineRule="auto"/>
        <w:ind w:left="360" w:right="1440"/>
        <w:rPr>
          <w:rFonts w:cstheme="minorHAnsi"/>
          <w:bCs/>
        </w:rPr>
      </w:pPr>
      <w:r>
        <w:rPr>
          <w:rFonts w:cstheme="minorHAnsi"/>
          <w:bCs/>
        </w:rPr>
        <w:t>Ken Viera</w:t>
      </w:r>
      <w:r w:rsidR="009F26E4">
        <w:rPr>
          <w:rFonts w:cstheme="minorHAnsi"/>
          <w:bCs/>
        </w:rPr>
        <w:t xml:space="preserve"> and Patrick Klein</w:t>
      </w:r>
      <w:r w:rsidR="00AB6BA3" w:rsidRPr="00AB6BA3">
        <w:rPr>
          <w:rFonts w:cstheme="minorHAnsi"/>
          <w:bCs/>
        </w:rPr>
        <w:t xml:space="preserve"> from Segal Consulting reviewed the quarterly plan financials.</w:t>
      </w:r>
    </w:p>
    <w:p w14:paraId="3AAB2E67" w14:textId="541FF0CC" w:rsidR="00AB6BA3" w:rsidRDefault="00AB6BA3" w:rsidP="00AB6BA3">
      <w:pPr>
        <w:spacing w:after="0" w:line="240" w:lineRule="auto"/>
        <w:ind w:left="360" w:right="1440"/>
        <w:rPr>
          <w:rFonts w:cstheme="minorHAnsi"/>
          <w:b/>
          <w:u w:val="single"/>
        </w:rPr>
      </w:pPr>
    </w:p>
    <w:p w14:paraId="6865919B" w14:textId="2CF7D8A6" w:rsidR="00AB6BA3" w:rsidRPr="00C07626" w:rsidRDefault="00A127C2" w:rsidP="00AB6BA3">
      <w:pPr>
        <w:spacing w:after="0" w:line="240" w:lineRule="auto"/>
        <w:ind w:left="360" w:right="1440"/>
        <w:rPr>
          <w:rFonts w:cstheme="minorHAnsi"/>
          <w:bCs/>
        </w:rPr>
      </w:pPr>
      <w:r w:rsidRPr="00C07626">
        <w:rPr>
          <w:rFonts w:cstheme="minorHAnsi"/>
          <w:bCs/>
        </w:rPr>
        <w:t>Ke</w:t>
      </w:r>
      <w:r w:rsidR="001D055D" w:rsidRPr="00C07626">
        <w:rPr>
          <w:rFonts w:cstheme="minorHAnsi"/>
          <w:bCs/>
        </w:rPr>
        <w:t>n</w:t>
      </w:r>
      <w:r w:rsidRPr="00C07626">
        <w:rPr>
          <w:rFonts w:cstheme="minorHAnsi"/>
          <w:bCs/>
        </w:rPr>
        <w:t xml:space="preserve"> Viera and Patrick Klein from Segal Consulting </w:t>
      </w:r>
      <w:r w:rsidR="0054617D" w:rsidRPr="00C07626">
        <w:rPr>
          <w:rFonts w:cstheme="minorHAnsi"/>
          <w:bCs/>
        </w:rPr>
        <w:t>presented the financial review:</w:t>
      </w:r>
    </w:p>
    <w:p w14:paraId="524AA05B" w14:textId="77777777" w:rsidR="00EB1F47" w:rsidRDefault="00EB1F47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7D6BB120" w14:textId="13F6AF8F" w:rsidR="0054617D" w:rsidRDefault="001D055D" w:rsidP="00AB6BA3">
      <w:pPr>
        <w:spacing w:after="0" w:line="240" w:lineRule="auto"/>
        <w:ind w:left="360" w:right="1440"/>
        <w:rPr>
          <w:rFonts w:cstheme="minorHAnsi"/>
          <w:bCs/>
        </w:rPr>
      </w:pPr>
      <w:r w:rsidRPr="00C07626">
        <w:rPr>
          <w:rFonts w:cstheme="minorHAnsi"/>
          <w:bCs/>
        </w:rPr>
        <w:t xml:space="preserve">Enrollment trends: </w:t>
      </w:r>
      <w:r w:rsidR="00BF7ECD" w:rsidRPr="00C07626">
        <w:rPr>
          <w:rFonts w:cstheme="minorHAnsi"/>
          <w:bCs/>
        </w:rPr>
        <w:t>since 2015, the plan has experienced membership decline</w:t>
      </w:r>
      <w:r w:rsidR="003C365F" w:rsidRPr="00C07626">
        <w:rPr>
          <w:rFonts w:cstheme="minorHAnsi"/>
          <w:bCs/>
        </w:rPr>
        <w:t xml:space="preserve"> and decrease in subscribers</w:t>
      </w:r>
    </w:p>
    <w:p w14:paraId="79B9B505" w14:textId="77777777" w:rsidR="00EB1F47" w:rsidRPr="00C07626" w:rsidRDefault="00EB1F47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13B10BAD" w14:textId="7016E6DC" w:rsidR="003C365F" w:rsidRDefault="006465F2" w:rsidP="00AB6BA3">
      <w:pPr>
        <w:spacing w:after="0" w:line="240" w:lineRule="auto"/>
        <w:ind w:left="360" w:right="1440"/>
        <w:rPr>
          <w:rFonts w:cstheme="minorHAnsi"/>
          <w:bCs/>
        </w:rPr>
      </w:pPr>
      <w:r w:rsidRPr="00C07626">
        <w:rPr>
          <w:rFonts w:cstheme="minorHAnsi"/>
          <w:bCs/>
        </w:rPr>
        <w:t>Subscriber ratio is for every subscriber there are 1.</w:t>
      </w:r>
      <w:r w:rsidR="0006425D" w:rsidRPr="00C07626">
        <w:rPr>
          <w:rFonts w:cstheme="minorHAnsi"/>
          <w:bCs/>
        </w:rPr>
        <w:t>96 members on Plan A</w:t>
      </w:r>
    </w:p>
    <w:p w14:paraId="39A38A8C" w14:textId="77777777" w:rsidR="00EB1F47" w:rsidRPr="00C07626" w:rsidRDefault="00EB1F47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1E01C0D2" w14:textId="64628A3C" w:rsidR="006C1446" w:rsidRDefault="002644B9" w:rsidP="00AB6BA3">
      <w:pPr>
        <w:spacing w:after="0" w:line="240" w:lineRule="auto"/>
        <w:ind w:left="360" w:right="1440"/>
        <w:rPr>
          <w:rFonts w:cstheme="minorHAnsi"/>
          <w:bCs/>
        </w:rPr>
      </w:pPr>
      <w:r w:rsidRPr="00C07626">
        <w:rPr>
          <w:rFonts w:cstheme="minorHAnsi"/>
          <w:bCs/>
        </w:rPr>
        <w:t xml:space="preserve">Reviewed the stats surrounding the paid employee per month (PEPM) for </w:t>
      </w:r>
      <w:proofErr w:type="gramStart"/>
      <w:r w:rsidRPr="00C07626">
        <w:rPr>
          <w:rFonts w:cstheme="minorHAnsi"/>
          <w:bCs/>
        </w:rPr>
        <w:t>all of</w:t>
      </w:r>
      <w:proofErr w:type="gramEnd"/>
      <w:r w:rsidRPr="00C07626">
        <w:rPr>
          <w:rFonts w:cstheme="minorHAnsi"/>
          <w:bCs/>
        </w:rPr>
        <w:t xml:space="preserve"> the various plans</w:t>
      </w:r>
    </w:p>
    <w:p w14:paraId="335DFEBB" w14:textId="77777777" w:rsidR="00EB1F47" w:rsidRPr="00C07626" w:rsidRDefault="00EB1F47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60B30112" w14:textId="38022B18" w:rsidR="00F400C8" w:rsidRPr="00EB1F47" w:rsidRDefault="00F400C8" w:rsidP="00EB1F47">
      <w:pPr>
        <w:pStyle w:val="ListParagraph"/>
        <w:numPr>
          <w:ilvl w:val="0"/>
          <w:numId w:val="11"/>
        </w:numPr>
        <w:spacing w:after="0" w:line="240" w:lineRule="auto"/>
        <w:ind w:right="1440"/>
        <w:rPr>
          <w:rFonts w:cstheme="minorHAnsi"/>
          <w:bCs/>
        </w:rPr>
      </w:pPr>
      <w:r w:rsidRPr="00EB1F47">
        <w:rPr>
          <w:rFonts w:cstheme="minorHAnsi"/>
          <w:bCs/>
        </w:rPr>
        <w:t>Stats follow industry standards where the younger healthier people</w:t>
      </w:r>
      <w:r w:rsidR="004A3581" w:rsidRPr="00EB1F47">
        <w:rPr>
          <w:rFonts w:cstheme="minorHAnsi"/>
          <w:bCs/>
        </w:rPr>
        <w:t xml:space="preserve"> typically select the less expensive plans where those that </w:t>
      </w:r>
      <w:r w:rsidR="00EA682A" w:rsidRPr="00EB1F47">
        <w:rPr>
          <w:rFonts w:cstheme="minorHAnsi"/>
          <w:bCs/>
        </w:rPr>
        <w:t xml:space="preserve">use insurance more select the </w:t>
      </w:r>
      <w:r w:rsidR="00DE52D8" w:rsidRPr="00EB1F47">
        <w:rPr>
          <w:rFonts w:cstheme="minorHAnsi"/>
          <w:bCs/>
        </w:rPr>
        <w:t>more expensive p</w:t>
      </w:r>
      <w:r w:rsidR="00EB1F47" w:rsidRPr="00EB1F47">
        <w:rPr>
          <w:rFonts w:cstheme="minorHAnsi"/>
          <w:bCs/>
        </w:rPr>
        <w:t>l</w:t>
      </w:r>
      <w:r w:rsidR="00DE52D8" w:rsidRPr="00EB1F47">
        <w:rPr>
          <w:rFonts w:cstheme="minorHAnsi"/>
          <w:bCs/>
        </w:rPr>
        <w:t>an</w:t>
      </w:r>
    </w:p>
    <w:p w14:paraId="47F3963A" w14:textId="66D70370" w:rsidR="00DE52D8" w:rsidRPr="00C07626" w:rsidRDefault="00DE52D8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61ABCDC1" w14:textId="463C056B" w:rsidR="00DE52D8" w:rsidRPr="00EB1F47" w:rsidRDefault="00B91508" w:rsidP="00EB1F47">
      <w:pPr>
        <w:pStyle w:val="ListParagraph"/>
        <w:numPr>
          <w:ilvl w:val="0"/>
          <w:numId w:val="11"/>
        </w:numPr>
        <w:spacing w:after="0" w:line="240" w:lineRule="auto"/>
        <w:ind w:right="1440"/>
        <w:rPr>
          <w:rFonts w:cstheme="minorHAnsi"/>
          <w:bCs/>
        </w:rPr>
      </w:pPr>
      <w:r w:rsidRPr="00EB1F47">
        <w:rPr>
          <w:rFonts w:cstheme="minorHAnsi"/>
          <w:bCs/>
        </w:rPr>
        <w:t xml:space="preserve">The subscriber </w:t>
      </w:r>
      <w:r w:rsidR="00D82BEF" w:rsidRPr="00EB1F47">
        <w:rPr>
          <w:rFonts w:cstheme="minorHAnsi"/>
          <w:bCs/>
        </w:rPr>
        <w:t xml:space="preserve">ratio </w:t>
      </w:r>
      <w:r w:rsidRPr="00EB1F47">
        <w:rPr>
          <w:rFonts w:cstheme="minorHAnsi"/>
          <w:bCs/>
        </w:rPr>
        <w:t>tends to trend lower</w:t>
      </w:r>
      <w:r w:rsidR="00D82BEF" w:rsidRPr="00EB1F47">
        <w:rPr>
          <w:rFonts w:cstheme="minorHAnsi"/>
          <w:bCs/>
        </w:rPr>
        <w:t xml:space="preserve"> based on the amount states contribute toward </w:t>
      </w:r>
      <w:r w:rsidR="00C07626" w:rsidRPr="00EB1F47">
        <w:rPr>
          <w:rFonts w:cstheme="minorHAnsi"/>
          <w:bCs/>
        </w:rPr>
        <w:t>dependent</w:t>
      </w:r>
      <w:r w:rsidR="0039709B" w:rsidRPr="00EB1F47">
        <w:rPr>
          <w:rFonts w:cstheme="minorHAnsi"/>
          <w:bCs/>
        </w:rPr>
        <w:t xml:space="preserve"> care coverage. States that contribute nothing toward </w:t>
      </w:r>
      <w:r w:rsidR="00C07626" w:rsidRPr="00EB1F47">
        <w:rPr>
          <w:rFonts w:cstheme="minorHAnsi"/>
          <w:bCs/>
        </w:rPr>
        <w:t>dependent</w:t>
      </w:r>
      <w:r w:rsidR="0039709B" w:rsidRPr="00EB1F47">
        <w:rPr>
          <w:rFonts w:cstheme="minorHAnsi"/>
          <w:bCs/>
        </w:rPr>
        <w:t xml:space="preserve"> care experience the lowest ratio.</w:t>
      </w:r>
    </w:p>
    <w:p w14:paraId="07A8C193" w14:textId="77777777" w:rsidR="00EB1F47" w:rsidRPr="00C07626" w:rsidRDefault="00EB1F47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5A5E6343" w14:textId="28F0DA3A" w:rsidR="0039709B" w:rsidRPr="00C07626" w:rsidRDefault="005258A0" w:rsidP="00AB6BA3">
      <w:pPr>
        <w:spacing w:after="0" w:line="240" w:lineRule="auto"/>
        <w:ind w:left="360" w:right="1440"/>
        <w:rPr>
          <w:rFonts w:cstheme="minorHAnsi"/>
          <w:bCs/>
        </w:rPr>
      </w:pPr>
      <w:r w:rsidRPr="00C07626">
        <w:rPr>
          <w:rFonts w:cstheme="minorHAnsi"/>
          <w:bCs/>
        </w:rPr>
        <w:t xml:space="preserve">Per Member Per Month – more detailed data compared </w:t>
      </w:r>
      <w:r w:rsidR="00DE1DE3">
        <w:rPr>
          <w:rFonts w:cstheme="minorHAnsi"/>
          <w:bCs/>
        </w:rPr>
        <w:t xml:space="preserve">to </w:t>
      </w:r>
      <w:r w:rsidRPr="00C07626">
        <w:rPr>
          <w:rFonts w:cstheme="minorHAnsi"/>
          <w:bCs/>
        </w:rPr>
        <w:t>P</w:t>
      </w:r>
      <w:r w:rsidR="009A396A" w:rsidRPr="00C07626">
        <w:rPr>
          <w:rFonts w:cstheme="minorHAnsi"/>
          <w:bCs/>
        </w:rPr>
        <w:t>EPM</w:t>
      </w:r>
    </w:p>
    <w:p w14:paraId="3F3C1C12" w14:textId="11F8CF42" w:rsidR="009A396A" w:rsidRPr="00EB1F47" w:rsidRDefault="00797887" w:rsidP="00EB1F47">
      <w:pPr>
        <w:pStyle w:val="ListParagraph"/>
        <w:numPr>
          <w:ilvl w:val="0"/>
          <w:numId w:val="12"/>
        </w:numPr>
        <w:spacing w:after="0" w:line="240" w:lineRule="auto"/>
        <w:ind w:right="1440"/>
        <w:rPr>
          <w:rFonts w:cstheme="minorHAnsi"/>
          <w:bCs/>
        </w:rPr>
      </w:pPr>
      <w:r w:rsidRPr="00EB1F47">
        <w:rPr>
          <w:rFonts w:cstheme="minorHAnsi"/>
          <w:bCs/>
        </w:rPr>
        <w:t>Cost</w:t>
      </w:r>
      <w:r w:rsidR="00C86AA8" w:rsidRPr="00EB1F47">
        <w:rPr>
          <w:rFonts w:cstheme="minorHAnsi"/>
          <w:bCs/>
        </w:rPr>
        <w:t xml:space="preserve">s of medical over </w:t>
      </w:r>
      <w:r w:rsidR="00591E9E" w:rsidRPr="00EB1F47">
        <w:rPr>
          <w:rFonts w:cstheme="minorHAnsi"/>
          <w:bCs/>
        </w:rPr>
        <w:t>2014-2019</w:t>
      </w:r>
      <w:r w:rsidR="00C86AA8" w:rsidRPr="00EB1F47">
        <w:rPr>
          <w:rFonts w:cstheme="minorHAnsi"/>
          <w:bCs/>
        </w:rPr>
        <w:t xml:space="preserve"> average increase of 2% which is </w:t>
      </w:r>
      <w:r w:rsidR="002F57E7" w:rsidRPr="00EB1F47">
        <w:rPr>
          <w:rFonts w:cstheme="minorHAnsi"/>
          <w:bCs/>
        </w:rPr>
        <w:t>below industry benchmark</w:t>
      </w:r>
    </w:p>
    <w:p w14:paraId="1133E50E" w14:textId="73A6C68F" w:rsidR="00574EDC" w:rsidRPr="00EB1F47" w:rsidRDefault="00574EDC" w:rsidP="00EB1F47">
      <w:pPr>
        <w:pStyle w:val="ListParagraph"/>
        <w:numPr>
          <w:ilvl w:val="0"/>
          <w:numId w:val="12"/>
        </w:numPr>
        <w:spacing w:after="0" w:line="240" w:lineRule="auto"/>
        <w:ind w:right="1440"/>
        <w:rPr>
          <w:rFonts w:cstheme="minorHAnsi"/>
          <w:bCs/>
        </w:rPr>
      </w:pPr>
      <w:r w:rsidRPr="00EB1F47">
        <w:rPr>
          <w:rFonts w:cstheme="minorHAnsi"/>
          <w:bCs/>
        </w:rPr>
        <w:t xml:space="preserve">Pharmacy costs have averaged </w:t>
      </w:r>
      <w:r w:rsidR="00241F27" w:rsidRPr="00EB1F47">
        <w:rPr>
          <w:rFonts w:cstheme="minorHAnsi"/>
          <w:bCs/>
        </w:rPr>
        <w:t>3.5%</w:t>
      </w:r>
      <w:r w:rsidR="00C07626" w:rsidRPr="00EB1F47">
        <w:rPr>
          <w:rFonts w:cstheme="minorHAnsi"/>
          <w:bCs/>
        </w:rPr>
        <w:t xml:space="preserve"> but 10% isn’t out of the question</w:t>
      </w:r>
    </w:p>
    <w:p w14:paraId="601C6212" w14:textId="3BEB2BC6" w:rsidR="006A0911" w:rsidRDefault="006A0911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47FB1F99" w14:textId="2A949067" w:rsidR="006A0911" w:rsidRDefault="006A0911" w:rsidP="00AB6BA3">
      <w:pPr>
        <w:spacing w:after="0" w:line="240" w:lineRule="auto"/>
        <w:ind w:left="360" w:right="1440"/>
        <w:rPr>
          <w:rFonts w:cstheme="minorHAnsi"/>
          <w:bCs/>
        </w:rPr>
      </w:pPr>
      <w:r>
        <w:rPr>
          <w:rFonts w:cstheme="minorHAnsi"/>
          <w:bCs/>
        </w:rPr>
        <w:t xml:space="preserve">Commissioner </w:t>
      </w:r>
      <w:proofErr w:type="spellStart"/>
      <w:r>
        <w:rPr>
          <w:rFonts w:cstheme="minorHAnsi"/>
          <w:bCs/>
        </w:rPr>
        <w:t>Dechant</w:t>
      </w:r>
      <w:proofErr w:type="spellEnd"/>
      <w:r>
        <w:rPr>
          <w:rFonts w:cstheme="minorHAnsi"/>
          <w:bCs/>
        </w:rPr>
        <w:t xml:space="preserve"> </w:t>
      </w:r>
      <w:r w:rsidR="007303F4">
        <w:rPr>
          <w:rFonts w:cstheme="minorHAnsi"/>
          <w:bCs/>
        </w:rPr>
        <w:t>wants the commission to look at anything that may be</w:t>
      </w:r>
      <w:r w:rsidR="00BA5DA7">
        <w:rPr>
          <w:rFonts w:cstheme="minorHAnsi"/>
          <w:bCs/>
        </w:rPr>
        <w:t xml:space="preserve"> able to be done surrounding pharmacy costs, but doesn’t want to overreact</w:t>
      </w:r>
    </w:p>
    <w:p w14:paraId="207481BC" w14:textId="30A1BEC2" w:rsidR="00BA5DA7" w:rsidRDefault="00BA5DA7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481FF62D" w14:textId="4939019D" w:rsidR="00BA5DA7" w:rsidRDefault="00B211D8" w:rsidP="00AB6BA3">
      <w:pPr>
        <w:spacing w:after="0" w:line="240" w:lineRule="auto"/>
        <w:ind w:left="360" w:right="1440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E665CA">
        <w:rPr>
          <w:rFonts w:cstheme="minorHAnsi"/>
          <w:bCs/>
        </w:rPr>
        <w:t>h</w:t>
      </w:r>
      <w:r>
        <w:rPr>
          <w:rFonts w:cstheme="minorHAnsi"/>
          <w:bCs/>
        </w:rPr>
        <w:t xml:space="preserve">e plan experienced a </w:t>
      </w:r>
      <w:r w:rsidR="00A14505">
        <w:rPr>
          <w:rFonts w:cstheme="minorHAnsi"/>
          <w:bCs/>
        </w:rPr>
        <w:t>great increase in large claims over $250k</w:t>
      </w:r>
    </w:p>
    <w:p w14:paraId="2DC0EE72" w14:textId="5D88609B" w:rsidR="003F3BAA" w:rsidRDefault="003F3BAA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53EF084D" w14:textId="7C7D846C" w:rsidR="003F3BAA" w:rsidRDefault="003F3BAA" w:rsidP="00AB6BA3">
      <w:pPr>
        <w:spacing w:after="0" w:line="240" w:lineRule="auto"/>
        <w:ind w:left="360" w:right="1440"/>
        <w:rPr>
          <w:rFonts w:cstheme="minorHAnsi"/>
          <w:bCs/>
        </w:rPr>
      </w:pPr>
      <w:r>
        <w:rPr>
          <w:rFonts w:cstheme="minorHAnsi"/>
          <w:bCs/>
        </w:rPr>
        <w:t>2019 shows more in line with historical trend</w:t>
      </w:r>
    </w:p>
    <w:p w14:paraId="764E1F63" w14:textId="73403369" w:rsidR="003F3BAA" w:rsidRDefault="003F3BAA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49B725B8" w14:textId="73BC0864" w:rsidR="007562F0" w:rsidRDefault="00962378" w:rsidP="00AB6BA3">
      <w:pPr>
        <w:spacing w:after="0" w:line="240" w:lineRule="auto"/>
        <w:ind w:left="360" w:right="1440"/>
        <w:rPr>
          <w:rFonts w:cstheme="minorHAnsi"/>
          <w:bCs/>
        </w:rPr>
      </w:pPr>
      <w:r>
        <w:rPr>
          <w:rFonts w:cstheme="minorHAnsi"/>
          <w:bCs/>
        </w:rPr>
        <w:t>Budget Gain/Loss for 2019 through Dec 2019</w:t>
      </w:r>
      <w:r w:rsidR="00E665CA">
        <w:rPr>
          <w:rFonts w:cstheme="minorHAnsi"/>
          <w:bCs/>
        </w:rPr>
        <w:t>: e</w:t>
      </w:r>
      <w:r>
        <w:rPr>
          <w:rFonts w:cstheme="minorHAnsi"/>
          <w:bCs/>
        </w:rPr>
        <w:t xml:space="preserve">nded the year </w:t>
      </w:r>
      <w:r w:rsidR="00733257">
        <w:rPr>
          <w:rFonts w:cstheme="minorHAnsi"/>
          <w:bCs/>
        </w:rPr>
        <w:t xml:space="preserve">at $3.7M </w:t>
      </w:r>
      <w:r w:rsidR="00141712">
        <w:rPr>
          <w:rFonts w:cstheme="minorHAnsi"/>
          <w:bCs/>
        </w:rPr>
        <w:t>loss compared to budget</w:t>
      </w:r>
      <w:r w:rsidR="00E665CA">
        <w:rPr>
          <w:rFonts w:cstheme="minorHAnsi"/>
          <w:bCs/>
        </w:rPr>
        <w:t xml:space="preserve">. </w:t>
      </w:r>
      <w:r w:rsidR="007562F0">
        <w:rPr>
          <w:rFonts w:cstheme="minorHAnsi"/>
          <w:bCs/>
        </w:rPr>
        <w:t>Previously estimated a $4.5M loss</w:t>
      </w:r>
      <w:r w:rsidR="00912610">
        <w:rPr>
          <w:rFonts w:cstheme="minorHAnsi"/>
          <w:bCs/>
        </w:rPr>
        <w:t>.</w:t>
      </w:r>
    </w:p>
    <w:p w14:paraId="255A5D50" w14:textId="16BA92F1" w:rsidR="001C76C5" w:rsidRDefault="001C76C5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0EA3E8F7" w14:textId="4401A9F2" w:rsidR="001C76C5" w:rsidRPr="00C07626" w:rsidRDefault="00BB6A9B" w:rsidP="00AB6BA3">
      <w:pPr>
        <w:spacing w:after="0" w:line="240" w:lineRule="auto"/>
        <w:ind w:left="360" w:right="1440"/>
        <w:rPr>
          <w:rFonts w:cstheme="minorHAnsi"/>
          <w:bCs/>
        </w:rPr>
      </w:pPr>
      <w:r>
        <w:rPr>
          <w:rFonts w:cstheme="minorHAnsi"/>
          <w:bCs/>
        </w:rPr>
        <w:t>Commissioner Garcia requested follow-up regarding diagnosis on the list of top 10</w:t>
      </w:r>
      <w:r w:rsidR="00912610">
        <w:rPr>
          <w:rFonts w:cstheme="minorHAnsi"/>
          <w:bCs/>
        </w:rPr>
        <w:t xml:space="preserve"> </w:t>
      </w:r>
      <w:r>
        <w:rPr>
          <w:rFonts w:cstheme="minorHAnsi"/>
          <w:bCs/>
        </w:rPr>
        <w:t>claimant</w:t>
      </w:r>
      <w:r w:rsidR="006B30A2">
        <w:rPr>
          <w:rFonts w:cstheme="minorHAnsi"/>
          <w:bCs/>
        </w:rPr>
        <w:t>s</w:t>
      </w:r>
      <w:r w:rsidR="00912610">
        <w:rPr>
          <w:rFonts w:cstheme="minorHAnsi"/>
          <w:bCs/>
        </w:rPr>
        <w:t>.</w:t>
      </w:r>
    </w:p>
    <w:p w14:paraId="6252E5AB" w14:textId="2141C736" w:rsidR="00C07626" w:rsidRPr="00C07626" w:rsidRDefault="00C07626" w:rsidP="00AB6BA3">
      <w:pPr>
        <w:spacing w:after="0" w:line="240" w:lineRule="auto"/>
        <w:ind w:left="360" w:right="1440"/>
        <w:rPr>
          <w:rFonts w:cstheme="minorHAnsi"/>
          <w:bCs/>
        </w:rPr>
      </w:pPr>
    </w:p>
    <w:p w14:paraId="050D3E43" w14:textId="77777777" w:rsidR="00C07626" w:rsidRDefault="00C07626" w:rsidP="00AB6BA3">
      <w:pPr>
        <w:spacing w:after="0" w:line="240" w:lineRule="auto"/>
        <w:ind w:left="360" w:right="1440"/>
        <w:rPr>
          <w:rFonts w:cstheme="minorHAnsi"/>
          <w:b/>
          <w:u w:val="single"/>
        </w:rPr>
      </w:pPr>
    </w:p>
    <w:p w14:paraId="2AC30533" w14:textId="6E5BDCB5" w:rsidR="002224F9" w:rsidRPr="00844BB4" w:rsidRDefault="002224F9" w:rsidP="002224F9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OLD BUSINESS</w:t>
      </w:r>
    </w:p>
    <w:p w14:paraId="0EE28A7C" w14:textId="331ECCBD" w:rsidR="00817FA9" w:rsidRPr="00A537DB" w:rsidRDefault="00CD23ED" w:rsidP="00817FA9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2021 Plan Year Models</w:t>
      </w:r>
    </w:p>
    <w:p w14:paraId="3FA13505" w14:textId="03A383A8" w:rsidR="00A8651A" w:rsidRDefault="006B30A2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Mike Michael</w:t>
      </w:r>
      <w:r w:rsidR="0020427E">
        <w:rPr>
          <w:rFonts w:cstheme="minorHAnsi"/>
        </w:rPr>
        <w:t xml:space="preserve"> reviewe</w:t>
      </w:r>
      <w:r w:rsidR="00654835">
        <w:rPr>
          <w:rFonts w:cstheme="minorHAnsi"/>
        </w:rPr>
        <w:t>d</w:t>
      </w:r>
      <w:r w:rsidR="0020427E">
        <w:rPr>
          <w:rFonts w:cstheme="minorHAnsi"/>
        </w:rPr>
        <w:t xml:space="preserve"> the modeling </w:t>
      </w:r>
      <w:r w:rsidR="00070265">
        <w:rPr>
          <w:rFonts w:cstheme="minorHAnsi"/>
        </w:rPr>
        <w:t>abilities of Segal and the SEHP. They reviewed a couple sample options and are seeking model requests from the commissioners</w:t>
      </w:r>
      <w:r w:rsidR="009610B9">
        <w:rPr>
          <w:rFonts w:cstheme="minorHAnsi"/>
        </w:rPr>
        <w:t xml:space="preserve">. The HCC will then plan to review </w:t>
      </w:r>
      <w:r w:rsidR="009610B9">
        <w:rPr>
          <w:rFonts w:cstheme="minorHAnsi"/>
        </w:rPr>
        <w:lastRenderedPageBreak/>
        <w:t>the final models at the next HCC meeting in April.</w:t>
      </w:r>
      <w:r w:rsidR="0009006B">
        <w:rPr>
          <w:rFonts w:cstheme="minorHAnsi"/>
        </w:rPr>
        <w:t xml:space="preserve"> Final plan decisions will be made at the June meeting.</w:t>
      </w:r>
    </w:p>
    <w:p w14:paraId="32FE6A05" w14:textId="65361F2D" w:rsidR="00CE17F7" w:rsidRDefault="00CE17F7" w:rsidP="00AB6BA3">
      <w:pPr>
        <w:spacing w:after="0" w:line="240" w:lineRule="auto"/>
        <w:ind w:left="360" w:right="1440"/>
        <w:rPr>
          <w:rFonts w:cstheme="minorHAnsi"/>
        </w:rPr>
      </w:pPr>
    </w:p>
    <w:p w14:paraId="6856E79F" w14:textId="16AF35C7" w:rsidR="00CE17F7" w:rsidRDefault="00CE17F7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Last year</w:t>
      </w:r>
      <w:r w:rsidR="00EB5268">
        <w:rPr>
          <w:rFonts w:cstheme="minorHAnsi"/>
        </w:rPr>
        <w:t>,</w:t>
      </w:r>
      <w:r>
        <w:rPr>
          <w:rFonts w:cstheme="minorHAnsi"/>
        </w:rPr>
        <w:t xml:space="preserve"> the HCC focused on the employee contribution percentage</w:t>
      </w:r>
      <w:r w:rsidR="00EB5268">
        <w:rPr>
          <w:rFonts w:cstheme="minorHAnsi"/>
        </w:rPr>
        <w:t>.</w:t>
      </w:r>
    </w:p>
    <w:p w14:paraId="3F220078" w14:textId="1678DCDB" w:rsidR="00487E0D" w:rsidRDefault="00487E0D" w:rsidP="00AB6BA3">
      <w:pPr>
        <w:spacing w:after="0" w:line="240" w:lineRule="auto"/>
        <w:ind w:left="360" w:right="1440"/>
        <w:rPr>
          <w:rFonts w:cstheme="minorHAnsi"/>
        </w:rPr>
      </w:pPr>
    </w:p>
    <w:p w14:paraId="35BD7F32" w14:textId="7B72392B" w:rsidR="00487E0D" w:rsidRDefault="00487E0D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 xml:space="preserve">SEHP staff will be available to meet with any </w:t>
      </w:r>
      <w:r w:rsidR="007C53E9">
        <w:rPr>
          <w:rFonts w:cstheme="minorHAnsi"/>
        </w:rPr>
        <w:t>commissioners</w:t>
      </w:r>
      <w:r w:rsidR="004177B6">
        <w:rPr>
          <w:rFonts w:cstheme="minorHAnsi"/>
        </w:rPr>
        <w:t xml:space="preserve"> to review suggestions</w:t>
      </w:r>
      <w:r w:rsidR="00DA280C">
        <w:rPr>
          <w:rFonts w:cstheme="minorHAnsi"/>
        </w:rPr>
        <w:t>.</w:t>
      </w:r>
    </w:p>
    <w:p w14:paraId="0EA39185" w14:textId="34124640" w:rsidR="00C90EB9" w:rsidRDefault="00C90EB9" w:rsidP="00AB6BA3">
      <w:pPr>
        <w:spacing w:after="0" w:line="240" w:lineRule="auto"/>
        <w:ind w:left="360" w:right="1440"/>
        <w:rPr>
          <w:rFonts w:cstheme="minorHAnsi"/>
        </w:rPr>
      </w:pPr>
    </w:p>
    <w:p w14:paraId="3C1DE229" w14:textId="23A49502" w:rsidR="00C90EB9" w:rsidRDefault="00C90EB9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 xml:space="preserve">Chair Burns-Wallace gave background surrounding the additional information to help commissioners </w:t>
      </w:r>
      <w:r w:rsidR="00DA280C">
        <w:rPr>
          <w:rFonts w:cstheme="minorHAnsi"/>
        </w:rPr>
        <w:t>to b</w:t>
      </w:r>
      <w:r>
        <w:rPr>
          <w:rFonts w:cstheme="minorHAnsi"/>
        </w:rPr>
        <w:t xml:space="preserve">e prepared </w:t>
      </w:r>
      <w:r w:rsidR="009F73E4">
        <w:rPr>
          <w:rFonts w:cstheme="minorHAnsi"/>
        </w:rPr>
        <w:t>for April conversations and June decisions</w:t>
      </w:r>
      <w:r w:rsidR="000F0D30">
        <w:rPr>
          <w:rFonts w:cstheme="minorHAnsi"/>
        </w:rPr>
        <w:t>.</w:t>
      </w:r>
    </w:p>
    <w:p w14:paraId="6E87299E" w14:textId="52547DD8" w:rsidR="009F73E4" w:rsidRDefault="009F73E4" w:rsidP="00AB6BA3">
      <w:pPr>
        <w:spacing w:after="0" w:line="240" w:lineRule="auto"/>
        <w:ind w:left="360" w:right="1440"/>
        <w:rPr>
          <w:rFonts w:cstheme="minorHAnsi"/>
        </w:rPr>
      </w:pPr>
    </w:p>
    <w:p w14:paraId="64AB5944" w14:textId="59327B3E" w:rsidR="008744FD" w:rsidRDefault="009F73E4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 xml:space="preserve">Commissioner </w:t>
      </w:r>
      <w:proofErr w:type="spellStart"/>
      <w:r>
        <w:rPr>
          <w:rFonts w:cstheme="minorHAnsi"/>
        </w:rPr>
        <w:t>Dechant</w:t>
      </w:r>
      <w:proofErr w:type="spellEnd"/>
      <w:r>
        <w:rPr>
          <w:rFonts w:cstheme="minorHAnsi"/>
        </w:rPr>
        <w:t xml:space="preserve"> raised the </w:t>
      </w:r>
      <w:r w:rsidR="003A6E2E">
        <w:rPr>
          <w:rFonts w:cstheme="minorHAnsi"/>
        </w:rPr>
        <w:t xml:space="preserve">topic/trend of </w:t>
      </w:r>
      <w:r w:rsidR="003B0903">
        <w:rPr>
          <w:rFonts w:cstheme="minorHAnsi"/>
        </w:rPr>
        <w:t>contribution amounts</w:t>
      </w:r>
      <w:r w:rsidR="00D4283A">
        <w:rPr>
          <w:rFonts w:cstheme="minorHAnsi"/>
        </w:rPr>
        <w:t xml:space="preserve"> for employee vs employer</w:t>
      </w:r>
      <w:r w:rsidR="000F0D30">
        <w:rPr>
          <w:rFonts w:cstheme="minorHAnsi"/>
        </w:rPr>
        <w:t xml:space="preserve">. </w:t>
      </w:r>
      <w:r w:rsidR="008744FD">
        <w:rPr>
          <w:rFonts w:cstheme="minorHAnsi"/>
        </w:rPr>
        <w:t>Does the commission want to set some type of limit on percentage of employee salary</w:t>
      </w:r>
      <w:r w:rsidR="00A95C68">
        <w:rPr>
          <w:rFonts w:cstheme="minorHAnsi"/>
        </w:rPr>
        <w:t xml:space="preserve"> put toward health insurance </w:t>
      </w:r>
      <w:proofErr w:type="gramStart"/>
      <w:r w:rsidR="00A95C68">
        <w:rPr>
          <w:rFonts w:cstheme="minorHAnsi"/>
        </w:rPr>
        <w:t>plans</w:t>
      </w:r>
      <w:r w:rsidR="00422F78">
        <w:rPr>
          <w:rFonts w:cstheme="minorHAnsi"/>
        </w:rPr>
        <w:t>.</w:t>
      </w:r>
      <w:proofErr w:type="gramEnd"/>
      <w:r w:rsidR="00422F78">
        <w:rPr>
          <w:rFonts w:cstheme="minorHAnsi"/>
        </w:rPr>
        <w:t xml:space="preserve"> Would like to see the commission set a larg</w:t>
      </w:r>
      <w:r w:rsidR="00005878">
        <w:rPr>
          <w:rFonts w:cstheme="minorHAnsi"/>
        </w:rPr>
        <w:t xml:space="preserve">er umbrella of </w:t>
      </w:r>
      <w:r w:rsidR="00723334">
        <w:rPr>
          <w:rFonts w:cstheme="minorHAnsi"/>
        </w:rPr>
        <w:t>guidelines regarding percentage</w:t>
      </w:r>
      <w:r w:rsidR="009F59B2">
        <w:rPr>
          <w:rFonts w:cstheme="minorHAnsi"/>
        </w:rPr>
        <w:t xml:space="preserve"> contributions compared to salary</w:t>
      </w:r>
      <w:r w:rsidR="00175E80">
        <w:rPr>
          <w:rFonts w:cstheme="minorHAnsi"/>
        </w:rPr>
        <w:t xml:space="preserve">. Would like to see what other states do and where we </w:t>
      </w:r>
      <w:r w:rsidR="00BF369D">
        <w:rPr>
          <w:rFonts w:cstheme="minorHAnsi"/>
        </w:rPr>
        <w:t>sit as a state compared to other states.</w:t>
      </w:r>
    </w:p>
    <w:p w14:paraId="17FD30B7" w14:textId="6742999F" w:rsidR="002B486B" w:rsidRDefault="002B486B" w:rsidP="00AB6BA3">
      <w:pPr>
        <w:spacing w:after="0" w:line="240" w:lineRule="auto"/>
        <w:ind w:left="360" w:right="1440"/>
        <w:rPr>
          <w:rFonts w:cstheme="minorHAnsi"/>
        </w:rPr>
      </w:pPr>
    </w:p>
    <w:p w14:paraId="010C4AFF" w14:textId="18D14743" w:rsidR="002B486B" w:rsidRDefault="004E1A54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Mike Michael explained how the three-legged st</w:t>
      </w:r>
      <w:r w:rsidR="000537F1">
        <w:rPr>
          <w:rFonts w:cstheme="minorHAnsi"/>
        </w:rPr>
        <w:t>o</w:t>
      </w:r>
      <w:r>
        <w:rPr>
          <w:rFonts w:cstheme="minorHAnsi"/>
        </w:rPr>
        <w:t xml:space="preserve">ol of plan funding </w:t>
      </w:r>
      <w:r w:rsidR="00F37BF6">
        <w:rPr>
          <w:rFonts w:cstheme="minorHAnsi"/>
        </w:rPr>
        <w:t>works: employee contributions, employer contribut</w:t>
      </w:r>
      <w:r w:rsidR="008E51F5">
        <w:rPr>
          <w:rFonts w:cstheme="minorHAnsi"/>
        </w:rPr>
        <w:t xml:space="preserve">ions and cost-share with members for their </w:t>
      </w:r>
      <w:r w:rsidR="00745260">
        <w:rPr>
          <w:rFonts w:cstheme="minorHAnsi"/>
        </w:rPr>
        <w:t>claims. Years ago</w:t>
      </w:r>
      <w:r w:rsidR="00D65355">
        <w:rPr>
          <w:rFonts w:cstheme="minorHAnsi"/>
        </w:rPr>
        <w:t>, the state saw increases required in one or more of those streams to keep the plan viable.</w:t>
      </w:r>
    </w:p>
    <w:p w14:paraId="27AFBF65" w14:textId="0AC4BAA4" w:rsidR="00D65355" w:rsidRDefault="00D65355" w:rsidP="00AB6BA3">
      <w:pPr>
        <w:spacing w:after="0" w:line="240" w:lineRule="auto"/>
        <w:ind w:left="360" w:right="1440"/>
        <w:rPr>
          <w:rFonts w:cstheme="minorHAnsi"/>
        </w:rPr>
      </w:pPr>
    </w:p>
    <w:p w14:paraId="3838D948" w14:textId="222EDAD0" w:rsidR="009F41AF" w:rsidRDefault="009F41AF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Commissioner Young mentioned that when she started 20 years ago, the state had a tiered contribution rate so that those making $12/</w:t>
      </w:r>
      <w:proofErr w:type="spellStart"/>
      <w:r>
        <w:rPr>
          <w:rFonts w:cstheme="minorHAnsi"/>
        </w:rPr>
        <w:t>hr</w:t>
      </w:r>
      <w:proofErr w:type="spellEnd"/>
      <w:r>
        <w:rPr>
          <w:rFonts w:cstheme="minorHAnsi"/>
        </w:rPr>
        <w:t xml:space="preserve"> didn’t contribute at the same level </w:t>
      </w:r>
      <w:r w:rsidR="00526A01">
        <w:rPr>
          <w:rFonts w:cstheme="minorHAnsi"/>
        </w:rPr>
        <w:t>as someone making twice that amount.</w:t>
      </w:r>
    </w:p>
    <w:p w14:paraId="7A8D2FD5" w14:textId="1570E928" w:rsidR="00526A01" w:rsidRDefault="00526A01" w:rsidP="00AB6BA3">
      <w:pPr>
        <w:spacing w:after="0" w:line="240" w:lineRule="auto"/>
        <w:ind w:left="360" w:right="1440"/>
        <w:rPr>
          <w:rFonts w:cstheme="minorHAnsi"/>
        </w:rPr>
      </w:pPr>
    </w:p>
    <w:p w14:paraId="27AD50DD" w14:textId="4538A0C9" w:rsidR="00526A01" w:rsidRDefault="00043B86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Reviewed Model #2 – moving Plan A from a three-tier deductible to a two-tier deductible</w:t>
      </w:r>
    </w:p>
    <w:p w14:paraId="287D0DEC" w14:textId="3FA93BA4" w:rsidR="00D16245" w:rsidRDefault="00D16245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Model #3 reviewed if an HRA/H</w:t>
      </w:r>
      <w:r w:rsidR="000F0D30">
        <w:rPr>
          <w:rFonts w:cstheme="minorHAnsi"/>
        </w:rPr>
        <w:t>SA</w:t>
      </w:r>
      <w:r>
        <w:rPr>
          <w:rFonts w:cstheme="minorHAnsi"/>
        </w:rPr>
        <w:t xml:space="preserve"> was added to Plan A</w:t>
      </w:r>
    </w:p>
    <w:p w14:paraId="11168649" w14:textId="3A2E2074" w:rsidR="004D26A9" w:rsidRDefault="004D26A9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Model #4</w:t>
      </w:r>
    </w:p>
    <w:p w14:paraId="169FC8F3" w14:textId="0AECDEB5" w:rsidR="00EB1109" w:rsidRDefault="00EB1109" w:rsidP="00AB6BA3">
      <w:pPr>
        <w:spacing w:after="0" w:line="240" w:lineRule="auto"/>
        <w:ind w:left="360" w:right="1440"/>
        <w:rPr>
          <w:rFonts w:cstheme="minorHAnsi"/>
        </w:rPr>
      </w:pPr>
    </w:p>
    <w:p w14:paraId="3C2883B8" w14:textId="69444C57" w:rsidR="00EB1109" w:rsidRDefault="00D569F6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 xml:space="preserve">Chair Burns-Wallace </w:t>
      </w:r>
      <w:r w:rsidR="00451F55">
        <w:rPr>
          <w:rFonts w:cstheme="minorHAnsi"/>
        </w:rPr>
        <w:t xml:space="preserve">asked that each commissioner review existing data and </w:t>
      </w:r>
      <w:r w:rsidR="009E4754">
        <w:rPr>
          <w:rFonts w:cstheme="minorHAnsi"/>
        </w:rPr>
        <w:t xml:space="preserve">submit specific questions </w:t>
      </w:r>
      <w:r w:rsidR="00AE4828">
        <w:rPr>
          <w:rFonts w:cstheme="minorHAnsi"/>
        </w:rPr>
        <w:t xml:space="preserve">to Mike Michael to answer for all commissioners. She also asked that each commissioner </w:t>
      </w:r>
      <w:r w:rsidR="00EC0716">
        <w:rPr>
          <w:rFonts w:cstheme="minorHAnsi"/>
        </w:rPr>
        <w:t>set up an individual meeting with Mike Michael</w:t>
      </w:r>
      <w:r w:rsidR="00252351">
        <w:rPr>
          <w:rFonts w:cstheme="minorHAnsi"/>
        </w:rPr>
        <w:t xml:space="preserve"> to review individual questions and requests.</w:t>
      </w:r>
    </w:p>
    <w:p w14:paraId="7C31A308" w14:textId="17486CA9" w:rsidR="00252351" w:rsidRDefault="00252351" w:rsidP="00AB6BA3">
      <w:pPr>
        <w:spacing w:after="0" w:line="240" w:lineRule="auto"/>
        <w:ind w:left="360" w:right="1440"/>
        <w:rPr>
          <w:rFonts w:cstheme="minorHAnsi"/>
        </w:rPr>
      </w:pPr>
    </w:p>
    <w:p w14:paraId="507D4185" w14:textId="01317F4C" w:rsidR="00252351" w:rsidRDefault="00512942" w:rsidP="00AB6BA3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Commissioner Garcia mentioned the im</w:t>
      </w:r>
      <w:r w:rsidR="007518EA">
        <w:rPr>
          <w:rFonts w:cstheme="minorHAnsi"/>
        </w:rPr>
        <w:t>portance of attractive benefits packages</w:t>
      </w:r>
      <w:r w:rsidR="000007F2">
        <w:rPr>
          <w:rFonts w:cstheme="minorHAnsi"/>
        </w:rPr>
        <w:t xml:space="preserve"> to encourage </w:t>
      </w:r>
      <w:r w:rsidR="00752317">
        <w:rPr>
          <w:rFonts w:cstheme="minorHAnsi"/>
        </w:rPr>
        <w:t>people to move to Kansas and work for the state.</w:t>
      </w:r>
      <w:r w:rsidR="00676F15">
        <w:rPr>
          <w:rFonts w:cstheme="minorHAnsi"/>
        </w:rPr>
        <w:t xml:space="preserve"> </w:t>
      </w:r>
      <w:r w:rsidR="003868E4">
        <w:rPr>
          <w:rFonts w:cstheme="minorHAnsi"/>
        </w:rPr>
        <w:t xml:space="preserve">Feels that </w:t>
      </w:r>
      <w:r w:rsidR="0068619D">
        <w:rPr>
          <w:rFonts w:cstheme="minorHAnsi"/>
        </w:rPr>
        <w:t xml:space="preserve">if we lack </w:t>
      </w:r>
      <w:r w:rsidR="00B65FB2">
        <w:rPr>
          <w:rFonts w:cstheme="minorHAnsi"/>
        </w:rPr>
        <w:t xml:space="preserve">other attractive attributes then we should have </w:t>
      </w:r>
      <w:r w:rsidR="00EC04BB">
        <w:rPr>
          <w:rFonts w:cstheme="minorHAnsi"/>
        </w:rPr>
        <w:t>great benefits.</w:t>
      </w:r>
    </w:p>
    <w:p w14:paraId="62ED4A1E" w14:textId="444153FD" w:rsidR="00EC04BB" w:rsidRDefault="00EC04BB" w:rsidP="00AB6BA3">
      <w:pPr>
        <w:spacing w:after="0" w:line="240" w:lineRule="auto"/>
        <w:ind w:left="360" w:right="1440"/>
        <w:rPr>
          <w:rFonts w:cstheme="minorHAnsi"/>
        </w:rPr>
      </w:pPr>
    </w:p>
    <w:p w14:paraId="785CBAB7" w14:textId="77777777" w:rsidR="00A8651A" w:rsidRPr="00844BB4" w:rsidRDefault="00A8651A" w:rsidP="00A8651A">
      <w:pPr>
        <w:spacing w:after="0" w:line="240" w:lineRule="auto"/>
        <w:ind w:right="1440"/>
        <w:rPr>
          <w:rFonts w:cstheme="minorHAnsi"/>
        </w:rPr>
      </w:pPr>
    </w:p>
    <w:p w14:paraId="33CC91D4" w14:textId="7C594169" w:rsidR="00783020" w:rsidRPr="00A537DB" w:rsidRDefault="00783020" w:rsidP="00817FA9">
      <w:pPr>
        <w:pStyle w:val="ListParagraph"/>
        <w:numPr>
          <w:ilvl w:val="0"/>
          <w:numId w:val="4"/>
        </w:numPr>
        <w:spacing w:after="0" w:line="240" w:lineRule="auto"/>
        <w:ind w:right="1440"/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 xml:space="preserve">Flu Vaccination Program </w:t>
      </w:r>
      <w:r w:rsidR="00A8651A" w:rsidRPr="00A537DB">
        <w:rPr>
          <w:rFonts w:cstheme="minorHAnsi"/>
          <w:b/>
          <w:bCs/>
        </w:rPr>
        <w:t>–</w:t>
      </w:r>
      <w:r w:rsidRPr="00A537DB">
        <w:rPr>
          <w:rFonts w:cstheme="minorHAnsi"/>
          <w:b/>
          <w:bCs/>
        </w:rPr>
        <w:t xml:space="preserve"> update</w:t>
      </w:r>
    </w:p>
    <w:p w14:paraId="35F2B1CB" w14:textId="06E04803" w:rsidR="00A8651A" w:rsidRPr="00844BB4" w:rsidRDefault="00A8651A" w:rsidP="00A8651A">
      <w:pPr>
        <w:spacing w:after="0" w:line="240" w:lineRule="auto"/>
        <w:ind w:right="1440"/>
        <w:rPr>
          <w:rFonts w:cstheme="minorHAnsi"/>
        </w:rPr>
      </w:pPr>
    </w:p>
    <w:p w14:paraId="65375C0D" w14:textId="5ED184F2" w:rsidR="00A8651A" w:rsidRPr="00844BB4" w:rsidRDefault="0009006B" w:rsidP="0009006B">
      <w:pPr>
        <w:spacing w:after="0" w:line="240" w:lineRule="auto"/>
        <w:ind w:left="360" w:right="1440"/>
        <w:rPr>
          <w:rFonts w:cstheme="minorHAnsi"/>
        </w:rPr>
      </w:pPr>
      <w:r>
        <w:rPr>
          <w:rFonts w:cstheme="minorHAnsi"/>
        </w:rPr>
        <w:t>Mike Michael recapped the discussion regarding the onsite Flu Vaccination Clinic benefit</w:t>
      </w:r>
      <w:r w:rsidR="00665DB7">
        <w:rPr>
          <w:rFonts w:cstheme="minorHAnsi"/>
        </w:rPr>
        <w:t xml:space="preserve"> from the January 23 meeting. He also presented a proposed MOU from KDHE</w:t>
      </w:r>
      <w:r w:rsidR="00CA1501">
        <w:rPr>
          <w:rFonts w:cstheme="minorHAnsi"/>
        </w:rPr>
        <w:t xml:space="preserve"> Bureau of Public Health to administer the program for FY202</w:t>
      </w:r>
      <w:r w:rsidR="005B5117">
        <w:rPr>
          <w:rFonts w:cstheme="minorHAnsi"/>
        </w:rPr>
        <w:t>0</w:t>
      </w:r>
      <w:r w:rsidR="00CA1501">
        <w:rPr>
          <w:rFonts w:cstheme="minorHAnsi"/>
        </w:rPr>
        <w:t>.</w:t>
      </w:r>
      <w:r w:rsidR="000F16CA">
        <w:rPr>
          <w:rFonts w:cstheme="minorHAnsi"/>
        </w:rPr>
        <w:t xml:space="preserve"> KDHE would like to present a proposal to administer this program </w:t>
      </w:r>
      <w:r w:rsidR="005B5117">
        <w:rPr>
          <w:rFonts w:cstheme="minorHAnsi"/>
        </w:rPr>
        <w:t xml:space="preserve">for 2021 </w:t>
      </w:r>
      <w:r w:rsidR="00E4178B">
        <w:rPr>
          <w:rFonts w:cstheme="minorHAnsi"/>
        </w:rPr>
        <w:t>at the December meeting.</w:t>
      </w:r>
    </w:p>
    <w:p w14:paraId="1FF3BE0B" w14:textId="64CE70EE" w:rsidR="00A8651A" w:rsidRPr="00844BB4" w:rsidRDefault="00A8651A" w:rsidP="00A8651A">
      <w:pPr>
        <w:spacing w:after="0" w:line="240" w:lineRule="auto"/>
        <w:ind w:right="1440"/>
        <w:rPr>
          <w:rFonts w:cstheme="minorHAnsi"/>
        </w:rPr>
      </w:pPr>
    </w:p>
    <w:p w14:paraId="5ECF387F" w14:textId="4EB73867" w:rsidR="00A8651A" w:rsidRPr="00844BB4" w:rsidRDefault="00A8651A" w:rsidP="00A8651A">
      <w:pPr>
        <w:spacing w:after="0" w:line="240" w:lineRule="auto"/>
        <w:ind w:right="1440"/>
        <w:rPr>
          <w:rFonts w:cstheme="minorHAnsi"/>
        </w:rPr>
      </w:pPr>
    </w:p>
    <w:p w14:paraId="65FBA035" w14:textId="77777777" w:rsidR="00A8651A" w:rsidRPr="00A537DB" w:rsidRDefault="00A8651A" w:rsidP="00A8651A">
      <w:pPr>
        <w:spacing w:after="0" w:line="240" w:lineRule="auto"/>
        <w:ind w:right="1440"/>
        <w:rPr>
          <w:rFonts w:cstheme="minorHAnsi"/>
          <w:b/>
          <w:bCs/>
        </w:rPr>
      </w:pPr>
    </w:p>
    <w:p w14:paraId="3096B720" w14:textId="013DF477" w:rsidR="00646388" w:rsidRPr="00A537DB" w:rsidRDefault="00B5716E" w:rsidP="00817FA9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Email to the personnel offices with the EAC members – update</w:t>
      </w:r>
    </w:p>
    <w:p w14:paraId="40D8193A" w14:textId="4247096F" w:rsidR="00A8651A" w:rsidRPr="00844BB4" w:rsidRDefault="00325F55" w:rsidP="002809E9">
      <w:pPr>
        <w:ind w:left="360"/>
        <w:rPr>
          <w:rFonts w:cstheme="minorHAnsi"/>
        </w:rPr>
      </w:pPr>
      <w:r>
        <w:rPr>
          <w:rFonts w:cstheme="minorHAnsi"/>
        </w:rPr>
        <w:t xml:space="preserve">Email was sent to </w:t>
      </w:r>
      <w:r w:rsidR="00986EE6">
        <w:rPr>
          <w:rFonts w:cstheme="minorHAnsi"/>
        </w:rPr>
        <w:t>personnel offices on Jan. 21</w:t>
      </w:r>
    </w:p>
    <w:p w14:paraId="422A1015" w14:textId="62B7CE31" w:rsidR="00A8651A" w:rsidRPr="00844BB4" w:rsidRDefault="00A8651A" w:rsidP="00A8651A">
      <w:pPr>
        <w:rPr>
          <w:rFonts w:cstheme="minorHAnsi"/>
        </w:rPr>
      </w:pPr>
    </w:p>
    <w:p w14:paraId="406E2277" w14:textId="77777777" w:rsidR="00A8651A" w:rsidRPr="00844BB4" w:rsidRDefault="00A8651A" w:rsidP="00A8651A">
      <w:pPr>
        <w:rPr>
          <w:rFonts w:cstheme="minorHAnsi"/>
        </w:rPr>
      </w:pPr>
    </w:p>
    <w:p w14:paraId="69E376B9" w14:textId="6AA8B5B0" w:rsidR="009A086A" w:rsidRPr="00A537DB" w:rsidRDefault="009A086A" w:rsidP="009A086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 xml:space="preserve">Appeal Process – working group </w:t>
      </w:r>
      <w:r w:rsidR="00A8651A" w:rsidRPr="00A537DB">
        <w:rPr>
          <w:rFonts w:cstheme="minorHAnsi"/>
          <w:b/>
          <w:bCs/>
        </w:rPr>
        <w:t>–</w:t>
      </w:r>
      <w:r w:rsidRPr="00A537DB">
        <w:rPr>
          <w:rFonts w:cstheme="minorHAnsi"/>
          <w:b/>
          <w:bCs/>
        </w:rPr>
        <w:t xml:space="preserve"> update</w:t>
      </w:r>
    </w:p>
    <w:p w14:paraId="45B0B57F" w14:textId="5233914D" w:rsidR="00A8651A" w:rsidRPr="00844BB4" w:rsidRDefault="00A8651A" w:rsidP="00A8651A">
      <w:pPr>
        <w:spacing w:after="0" w:line="240" w:lineRule="auto"/>
        <w:rPr>
          <w:rFonts w:cstheme="minorHAnsi"/>
        </w:rPr>
      </w:pPr>
    </w:p>
    <w:p w14:paraId="1F5A11A3" w14:textId="7996B117" w:rsidR="00A8651A" w:rsidRPr="00844BB4" w:rsidRDefault="00060AF2" w:rsidP="00986EE6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Group was formed and met for the first time on Feb. 5</w:t>
      </w:r>
    </w:p>
    <w:p w14:paraId="4A2BDCFC" w14:textId="0FC981E5" w:rsidR="00A8651A" w:rsidRPr="00844BB4" w:rsidRDefault="00A8651A" w:rsidP="00A8651A">
      <w:pPr>
        <w:spacing w:after="0" w:line="240" w:lineRule="auto"/>
        <w:rPr>
          <w:rFonts w:cstheme="minorHAnsi"/>
        </w:rPr>
      </w:pPr>
    </w:p>
    <w:p w14:paraId="4088F992" w14:textId="61DB2589" w:rsidR="00A8651A" w:rsidRPr="00844BB4" w:rsidRDefault="00A8651A" w:rsidP="00A8651A">
      <w:pPr>
        <w:spacing w:after="0" w:line="240" w:lineRule="auto"/>
        <w:rPr>
          <w:rFonts w:cstheme="minorHAnsi"/>
        </w:rPr>
      </w:pPr>
    </w:p>
    <w:p w14:paraId="2F3BEE42" w14:textId="77777777" w:rsidR="00A8651A" w:rsidRPr="00844BB4" w:rsidRDefault="00A8651A" w:rsidP="00A8651A">
      <w:pPr>
        <w:spacing w:after="0" w:line="240" w:lineRule="auto"/>
        <w:rPr>
          <w:rFonts w:cstheme="minorHAnsi"/>
        </w:rPr>
      </w:pPr>
    </w:p>
    <w:p w14:paraId="56751D28" w14:textId="113E7338" w:rsidR="00B5716E" w:rsidRPr="00A537DB" w:rsidRDefault="00A8651A" w:rsidP="00817FA9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Appeals Memo from the Dec. 13, 2019 Meeting – update</w:t>
      </w:r>
    </w:p>
    <w:p w14:paraId="382CB704" w14:textId="6C322E00" w:rsidR="00A8651A" w:rsidRDefault="0051066A" w:rsidP="00A94B4F">
      <w:pPr>
        <w:ind w:left="360"/>
        <w:rPr>
          <w:rFonts w:cstheme="minorHAnsi"/>
        </w:rPr>
      </w:pPr>
      <w:r>
        <w:rPr>
          <w:rFonts w:cstheme="minorHAnsi"/>
        </w:rPr>
        <w:t xml:space="preserve">The memo was </w:t>
      </w:r>
      <w:r w:rsidR="00013DDB">
        <w:rPr>
          <w:rFonts w:cstheme="minorHAnsi"/>
        </w:rPr>
        <w:t xml:space="preserve">reviewed and has been </w:t>
      </w:r>
      <w:r w:rsidR="00332587">
        <w:rPr>
          <w:rFonts w:cstheme="minorHAnsi"/>
        </w:rPr>
        <w:t>finalized and posted to the HCC website in reference to the Dec. 2019 meeting.</w:t>
      </w:r>
    </w:p>
    <w:p w14:paraId="3041EC21" w14:textId="77777777" w:rsidR="00CE7892" w:rsidRPr="00844BB4" w:rsidRDefault="00CE7892" w:rsidP="00A8651A">
      <w:pPr>
        <w:rPr>
          <w:rFonts w:cstheme="minorHAnsi"/>
        </w:rPr>
      </w:pPr>
    </w:p>
    <w:p w14:paraId="6FC553ED" w14:textId="61A05039" w:rsidR="00A8651A" w:rsidRPr="00844BB4" w:rsidRDefault="00A8651A" w:rsidP="00A8651A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NEW BUSINESS</w:t>
      </w:r>
    </w:p>
    <w:p w14:paraId="5E32785E" w14:textId="580AAFA9" w:rsidR="00A8651A" w:rsidRPr="00A537DB" w:rsidRDefault="00142195" w:rsidP="00A8651A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State Employee Health Plan Executive Reorganization Order</w:t>
      </w:r>
    </w:p>
    <w:p w14:paraId="2D01D7C3" w14:textId="681C4C11" w:rsidR="008F26BE" w:rsidRDefault="00CE7892" w:rsidP="00CE7892">
      <w:pPr>
        <w:ind w:left="360"/>
        <w:rPr>
          <w:rFonts w:cstheme="minorHAnsi"/>
        </w:rPr>
      </w:pPr>
      <w:r>
        <w:rPr>
          <w:rFonts w:cstheme="minorHAnsi"/>
        </w:rPr>
        <w:t xml:space="preserve">Chair DeAngela Burns-Wallace presented on the Governor’s submitted Executive Reorganization Order No. </w:t>
      </w:r>
      <w:r w:rsidR="0072758C">
        <w:rPr>
          <w:rFonts w:cstheme="minorHAnsi"/>
        </w:rPr>
        <w:t>45</w:t>
      </w:r>
      <w:r w:rsidR="00BF1810">
        <w:rPr>
          <w:rFonts w:cstheme="minorHAnsi"/>
        </w:rPr>
        <w:t xml:space="preserve">. The ERO would relocate the </w:t>
      </w:r>
      <w:r w:rsidR="00D64D55">
        <w:rPr>
          <w:rFonts w:cstheme="minorHAnsi"/>
        </w:rPr>
        <w:t>SEHP and State Workers Compensation Self-Insurance Fund from KDHE to</w:t>
      </w:r>
      <w:r w:rsidR="00B22920">
        <w:rPr>
          <w:rFonts w:cstheme="minorHAnsi"/>
        </w:rPr>
        <w:t xml:space="preserve"> the Department of Administration.</w:t>
      </w:r>
    </w:p>
    <w:p w14:paraId="209F1892" w14:textId="4ABB91BD" w:rsidR="0078198A" w:rsidRDefault="0078198A" w:rsidP="00CE7892">
      <w:pPr>
        <w:ind w:left="360"/>
        <w:rPr>
          <w:rFonts w:cstheme="minorHAnsi"/>
        </w:rPr>
      </w:pPr>
      <w:r>
        <w:rPr>
          <w:rFonts w:cstheme="minorHAnsi"/>
        </w:rPr>
        <w:t xml:space="preserve">The ERO was </w:t>
      </w:r>
      <w:r w:rsidR="000D553F">
        <w:rPr>
          <w:rFonts w:cstheme="minorHAnsi"/>
        </w:rPr>
        <w:t xml:space="preserve">transmitted to </w:t>
      </w:r>
      <w:r w:rsidR="00404EE1">
        <w:rPr>
          <w:rFonts w:cstheme="minorHAnsi"/>
        </w:rPr>
        <w:t xml:space="preserve">the House of Representatives and the Senate on Thursday, January </w:t>
      </w:r>
      <w:r w:rsidR="00A67C76">
        <w:rPr>
          <w:rFonts w:cstheme="minorHAnsi"/>
        </w:rPr>
        <w:t xml:space="preserve">30, 2020 and was printed in both journals on </w:t>
      </w:r>
      <w:r w:rsidR="00D524C1">
        <w:rPr>
          <w:rFonts w:cstheme="minorHAnsi"/>
        </w:rPr>
        <w:t>Thursday, January 30, 2020.</w:t>
      </w:r>
    </w:p>
    <w:p w14:paraId="18D2CF50" w14:textId="6F48965C" w:rsidR="008174B0" w:rsidRDefault="008174B0" w:rsidP="00CE7892">
      <w:pPr>
        <w:ind w:left="360"/>
        <w:rPr>
          <w:rFonts w:cstheme="minorHAnsi"/>
        </w:rPr>
      </w:pPr>
      <w:r>
        <w:rPr>
          <w:rFonts w:cstheme="minorHAnsi"/>
        </w:rPr>
        <w:t xml:space="preserve">ERO No. 45 was referred to the House General Government Budget committee and the Senate Committee on Ways &amp; Means. </w:t>
      </w:r>
      <w:r w:rsidR="00383ED0">
        <w:rPr>
          <w:rFonts w:cstheme="minorHAnsi"/>
        </w:rPr>
        <w:t xml:space="preserve">Under Senate rules, the committees have </w:t>
      </w:r>
      <w:r w:rsidR="00304311">
        <w:rPr>
          <w:rFonts w:cstheme="minorHAnsi"/>
        </w:rPr>
        <w:t xml:space="preserve">30 calendar days, or until </w:t>
      </w:r>
      <w:r w:rsidR="004A245A">
        <w:rPr>
          <w:rFonts w:cstheme="minorHAnsi"/>
        </w:rPr>
        <w:t>Sunday, March 1 to report</w:t>
      </w:r>
      <w:r w:rsidR="001D0DF3">
        <w:rPr>
          <w:rFonts w:cstheme="minorHAnsi"/>
        </w:rPr>
        <w:t xml:space="preserve"> its recommendations. </w:t>
      </w:r>
    </w:p>
    <w:p w14:paraId="4EBD4826" w14:textId="2CF233B6" w:rsidR="001E41B1" w:rsidRDefault="001E41B1" w:rsidP="00CE7892">
      <w:pPr>
        <w:ind w:left="360"/>
        <w:rPr>
          <w:rFonts w:cstheme="minorHAnsi"/>
        </w:rPr>
      </w:pPr>
      <w:r>
        <w:rPr>
          <w:rFonts w:cstheme="minorHAnsi"/>
        </w:rPr>
        <w:t>Both the House and Senate Committees reported a recommendation of approval</w:t>
      </w:r>
      <w:r w:rsidR="00AD2FF0">
        <w:rPr>
          <w:rFonts w:cstheme="minorHAnsi"/>
        </w:rPr>
        <w:t>.</w:t>
      </w:r>
    </w:p>
    <w:p w14:paraId="62B69A11" w14:textId="6ECD0AF0" w:rsidR="00AD2FF0" w:rsidRDefault="00AD2FF0" w:rsidP="00CE7892">
      <w:pPr>
        <w:ind w:left="360"/>
        <w:rPr>
          <w:rFonts w:cstheme="minorHAnsi"/>
        </w:rPr>
      </w:pPr>
      <w:r>
        <w:rPr>
          <w:rFonts w:cstheme="minorHAnsi"/>
        </w:rPr>
        <w:t>The House and the Senate have until March</w:t>
      </w:r>
      <w:r w:rsidR="005D1050">
        <w:rPr>
          <w:rFonts w:cstheme="minorHAnsi"/>
        </w:rPr>
        <w:t xml:space="preserve"> 30 to take up the matter.</w:t>
      </w:r>
    </w:p>
    <w:p w14:paraId="4B29805D" w14:textId="24F53D1C" w:rsidR="005D1050" w:rsidRDefault="002E10E0" w:rsidP="00CE7892">
      <w:pPr>
        <w:ind w:left="360"/>
        <w:rPr>
          <w:rFonts w:cstheme="minorHAnsi"/>
        </w:rPr>
      </w:pPr>
      <w:r>
        <w:rPr>
          <w:rFonts w:cstheme="minorHAnsi"/>
        </w:rPr>
        <w:t>An ERO becomes effective when:</w:t>
      </w:r>
    </w:p>
    <w:p w14:paraId="6F362785" w14:textId="584346EE" w:rsidR="002E10E0" w:rsidRPr="00B4484D" w:rsidRDefault="004E2E36" w:rsidP="00B4484D">
      <w:pPr>
        <w:pStyle w:val="ListParagraph"/>
        <w:numPr>
          <w:ilvl w:val="0"/>
          <w:numId w:val="8"/>
        </w:numPr>
        <w:rPr>
          <w:rFonts w:cstheme="minorHAnsi"/>
        </w:rPr>
      </w:pPr>
      <w:r w:rsidRPr="00B4484D">
        <w:rPr>
          <w:rFonts w:cstheme="minorHAnsi"/>
        </w:rPr>
        <w:t>No action is taken by either house</w:t>
      </w:r>
    </w:p>
    <w:p w14:paraId="280500B0" w14:textId="27DE50AC" w:rsidR="004E2E36" w:rsidRPr="00B4484D" w:rsidRDefault="004E2E36" w:rsidP="00B4484D">
      <w:pPr>
        <w:pStyle w:val="ListParagraph"/>
        <w:numPr>
          <w:ilvl w:val="0"/>
          <w:numId w:val="8"/>
        </w:numPr>
        <w:rPr>
          <w:rFonts w:cstheme="minorHAnsi"/>
        </w:rPr>
      </w:pPr>
      <w:r w:rsidRPr="00B4484D">
        <w:rPr>
          <w:rFonts w:cstheme="minorHAnsi"/>
        </w:rPr>
        <w:t>Approval by one house and no action by the other</w:t>
      </w:r>
      <w:r w:rsidR="007B48FF" w:rsidRPr="00B4484D">
        <w:rPr>
          <w:rFonts w:cstheme="minorHAnsi"/>
        </w:rPr>
        <w:t xml:space="preserve"> house </w:t>
      </w:r>
    </w:p>
    <w:p w14:paraId="16C99B32" w14:textId="0A7502DE" w:rsidR="007B48FF" w:rsidRPr="00B4484D" w:rsidRDefault="007B48FF" w:rsidP="00B4484D">
      <w:pPr>
        <w:pStyle w:val="ListParagraph"/>
        <w:numPr>
          <w:ilvl w:val="0"/>
          <w:numId w:val="8"/>
        </w:numPr>
        <w:rPr>
          <w:rFonts w:cstheme="minorHAnsi"/>
        </w:rPr>
      </w:pPr>
      <w:r w:rsidRPr="00B4484D">
        <w:rPr>
          <w:rFonts w:cstheme="minorHAnsi"/>
        </w:rPr>
        <w:t>Approval by both houses</w:t>
      </w:r>
    </w:p>
    <w:p w14:paraId="45FBA89C" w14:textId="35346D8A" w:rsidR="007B48FF" w:rsidRDefault="00667267" w:rsidP="00CE7892">
      <w:pPr>
        <w:ind w:left="360"/>
        <w:rPr>
          <w:rFonts w:cstheme="minorHAnsi"/>
        </w:rPr>
      </w:pPr>
      <w:r>
        <w:rPr>
          <w:rFonts w:cstheme="minorHAnsi"/>
        </w:rPr>
        <w:t xml:space="preserve">An ERO is disapproved </w:t>
      </w:r>
      <w:r w:rsidR="001E3896">
        <w:rPr>
          <w:rFonts w:cstheme="minorHAnsi"/>
        </w:rPr>
        <w:t>when:</w:t>
      </w:r>
    </w:p>
    <w:p w14:paraId="375B24CB" w14:textId="7C176050" w:rsidR="001E3896" w:rsidRPr="00B4484D" w:rsidRDefault="00265AC9" w:rsidP="00B4484D">
      <w:pPr>
        <w:pStyle w:val="ListParagraph"/>
        <w:numPr>
          <w:ilvl w:val="0"/>
          <w:numId w:val="7"/>
        </w:numPr>
        <w:rPr>
          <w:rFonts w:cstheme="minorHAnsi"/>
        </w:rPr>
      </w:pPr>
      <w:r w:rsidRPr="00B4484D">
        <w:rPr>
          <w:rFonts w:cstheme="minorHAnsi"/>
        </w:rPr>
        <w:t>Either house adopts a resolution</w:t>
      </w:r>
      <w:r w:rsidR="00504EDC" w:rsidRPr="00B4484D">
        <w:rPr>
          <w:rFonts w:cstheme="minorHAnsi"/>
        </w:rPr>
        <w:t xml:space="preserve"> disapproving the ERO</w:t>
      </w:r>
    </w:p>
    <w:p w14:paraId="27D6D2B4" w14:textId="3E83EF65" w:rsidR="00504EDC" w:rsidRPr="00844BB4" w:rsidRDefault="003C1F62" w:rsidP="00CE7892">
      <w:pPr>
        <w:ind w:left="360"/>
        <w:rPr>
          <w:rFonts w:cstheme="minorHAnsi"/>
        </w:rPr>
      </w:pPr>
      <w:r>
        <w:rPr>
          <w:rFonts w:cstheme="minorHAnsi"/>
        </w:rPr>
        <w:t>Should ERO No. 45 be approved, it</w:t>
      </w:r>
      <w:r w:rsidR="009D61B6">
        <w:rPr>
          <w:rFonts w:cstheme="minorHAnsi"/>
        </w:rPr>
        <w:t xml:space="preserve"> will become effective</w:t>
      </w:r>
      <w:r w:rsidR="009C4959">
        <w:rPr>
          <w:rFonts w:cstheme="minorHAnsi"/>
        </w:rPr>
        <w:t xml:space="preserve"> </w:t>
      </w:r>
      <w:r>
        <w:rPr>
          <w:rFonts w:cstheme="minorHAnsi"/>
        </w:rPr>
        <w:t>on July 1, 2020.</w:t>
      </w:r>
    </w:p>
    <w:p w14:paraId="79499F40" w14:textId="77777777" w:rsidR="008F26BE" w:rsidRPr="00844BB4" w:rsidRDefault="008F26BE" w:rsidP="008F26BE">
      <w:pPr>
        <w:rPr>
          <w:rFonts w:cstheme="minorHAnsi"/>
        </w:rPr>
      </w:pPr>
    </w:p>
    <w:p w14:paraId="11EF0CD5" w14:textId="186F4361" w:rsidR="00142195" w:rsidRPr="00A537DB" w:rsidRDefault="007866AD" w:rsidP="00A8651A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537DB">
        <w:rPr>
          <w:rFonts w:cstheme="minorHAnsi"/>
          <w:b/>
          <w:bCs/>
        </w:rPr>
        <w:t>HealthQuest Health Center – Metrics/Annual Report</w:t>
      </w:r>
    </w:p>
    <w:p w14:paraId="0E42C619" w14:textId="2C0B1C83" w:rsidR="00761938" w:rsidRDefault="00EF116A" w:rsidP="0060272D">
      <w:pPr>
        <w:ind w:left="360"/>
        <w:rPr>
          <w:rFonts w:cstheme="minorHAnsi"/>
        </w:rPr>
      </w:pPr>
      <w:r>
        <w:rPr>
          <w:rFonts w:cstheme="minorHAnsi"/>
        </w:rPr>
        <w:t>Chair DeAngela Burns-Wallace mentioned that Commissioner Schmidt</w:t>
      </w:r>
      <w:r w:rsidR="0060272D">
        <w:rPr>
          <w:rFonts w:cstheme="minorHAnsi"/>
        </w:rPr>
        <w:t xml:space="preserve"> would like SEHP staff to complete </w:t>
      </w:r>
      <w:r w:rsidR="006774D2">
        <w:rPr>
          <w:rFonts w:cstheme="minorHAnsi"/>
        </w:rPr>
        <w:t xml:space="preserve">an evaluation and </w:t>
      </w:r>
      <w:r w:rsidR="00140CC7">
        <w:rPr>
          <w:rFonts w:cstheme="minorHAnsi"/>
        </w:rPr>
        <w:t xml:space="preserve">provide </w:t>
      </w:r>
      <w:r w:rsidR="006774D2">
        <w:rPr>
          <w:rFonts w:cstheme="minorHAnsi"/>
        </w:rPr>
        <w:t>statistics related to both the health center and the wellness plan. Any benchmarking data from Segal would also be helpful.</w:t>
      </w:r>
    </w:p>
    <w:p w14:paraId="487F3257" w14:textId="52BB093F" w:rsidR="005040C7" w:rsidRDefault="005040C7" w:rsidP="0060272D">
      <w:pPr>
        <w:ind w:left="360"/>
        <w:rPr>
          <w:rFonts w:cstheme="minorHAnsi"/>
        </w:rPr>
      </w:pPr>
    </w:p>
    <w:p w14:paraId="6C5EA753" w14:textId="3C45F3FA" w:rsidR="005040C7" w:rsidRDefault="005040C7" w:rsidP="0060272D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This data would be ideal to have presented at the April meeting to help with a more </w:t>
      </w:r>
      <w:r w:rsidR="00020E91">
        <w:rPr>
          <w:rFonts w:cstheme="minorHAnsi"/>
        </w:rPr>
        <w:t>strategic conversation surrounding the plan for 2021.</w:t>
      </w:r>
    </w:p>
    <w:p w14:paraId="62AD8633" w14:textId="36023E33" w:rsidR="00F460A7" w:rsidRDefault="00F460A7" w:rsidP="0060272D">
      <w:pPr>
        <w:ind w:left="360"/>
        <w:rPr>
          <w:rFonts w:cstheme="minorHAnsi"/>
        </w:rPr>
      </w:pPr>
    </w:p>
    <w:p w14:paraId="0F19050B" w14:textId="3C9400A9" w:rsidR="00F460A7" w:rsidRDefault="00F460A7" w:rsidP="00F460A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New Employee Waiting Period</w:t>
      </w:r>
    </w:p>
    <w:p w14:paraId="14EA22D2" w14:textId="05CFD805" w:rsidR="00F460A7" w:rsidRDefault="00B139BD" w:rsidP="00F460A7">
      <w:pPr>
        <w:ind w:left="360"/>
        <w:rPr>
          <w:rFonts w:cstheme="minorHAnsi"/>
        </w:rPr>
      </w:pPr>
      <w:r>
        <w:rPr>
          <w:rFonts w:cstheme="minorHAnsi"/>
        </w:rPr>
        <w:t xml:space="preserve">Chair DeAngela Burns-Wallace would like </w:t>
      </w:r>
      <w:r w:rsidR="00AB7131">
        <w:rPr>
          <w:rFonts w:cstheme="minorHAnsi"/>
        </w:rPr>
        <w:t xml:space="preserve">the SEHP team to </w:t>
      </w:r>
      <w:proofErr w:type="gramStart"/>
      <w:r w:rsidR="00AB7131">
        <w:rPr>
          <w:rFonts w:cstheme="minorHAnsi"/>
        </w:rPr>
        <w:t>look into</w:t>
      </w:r>
      <w:proofErr w:type="gramEnd"/>
      <w:r w:rsidR="00AB7131">
        <w:rPr>
          <w:rFonts w:cstheme="minorHAnsi"/>
        </w:rPr>
        <w:t xml:space="preserve"> the current process</w:t>
      </w:r>
      <w:r w:rsidR="005C28DB">
        <w:rPr>
          <w:rFonts w:cstheme="minorHAnsi"/>
        </w:rPr>
        <w:t xml:space="preserve"> for employee eligibility and what our options may be</w:t>
      </w:r>
      <w:r w:rsidR="00DA1A28">
        <w:rPr>
          <w:rFonts w:cstheme="minorHAnsi"/>
        </w:rPr>
        <w:t xml:space="preserve">. As the 30-day waiting period may </w:t>
      </w:r>
      <w:proofErr w:type="gramStart"/>
      <w:r w:rsidR="00DA1A28">
        <w:rPr>
          <w:rFonts w:cstheme="minorHAnsi"/>
        </w:rPr>
        <w:t>actually be</w:t>
      </w:r>
      <w:proofErr w:type="gramEnd"/>
      <w:r w:rsidR="00DA1A28">
        <w:rPr>
          <w:rFonts w:cstheme="minorHAnsi"/>
        </w:rPr>
        <w:t xml:space="preserve"> </w:t>
      </w:r>
      <w:r w:rsidR="00C72BC0">
        <w:rPr>
          <w:rFonts w:cstheme="minorHAnsi"/>
        </w:rPr>
        <w:t>closer to 60 days depending on the employee’s start date.</w:t>
      </w:r>
    </w:p>
    <w:p w14:paraId="1096E636" w14:textId="59F890B6" w:rsidR="00F914BB" w:rsidRDefault="00F914BB" w:rsidP="00F460A7">
      <w:pPr>
        <w:ind w:left="360"/>
        <w:rPr>
          <w:rFonts w:cstheme="minorHAnsi"/>
        </w:rPr>
      </w:pPr>
      <w:r>
        <w:rPr>
          <w:rFonts w:cstheme="minorHAnsi"/>
        </w:rPr>
        <w:t xml:space="preserve">What is possible and what is the </w:t>
      </w:r>
      <w:r w:rsidR="00AC247D">
        <w:rPr>
          <w:rFonts w:cstheme="minorHAnsi"/>
        </w:rPr>
        <w:t>potential impact to employees and process</w:t>
      </w:r>
      <w:r w:rsidR="00B739F1">
        <w:rPr>
          <w:rFonts w:cstheme="minorHAnsi"/>
        </w:rPr>
        <w:t xml:space="preserve"> and what is required to make any potential changes.</w:t>
      </w:r>
    </w:p>
    <w:p w14:paraId="2FD47953" w14:textId="053F2B84" w:rsidR="00035FC9" w:rsidRDefault="00035FC9" w:rsidP="00F460A7">
      <w:pPr>
        <w:ind w:left="360"/>
        <w:rPr>
          <w:rFonts w:cstheme="minorHAnsi"/>
        </w:rPr>
      </w:pPr>
    </w:p>
    <w:p w14:paraId="63750991" w14:textId="6F672E7C" w:rsidR="00035FC9" w:rsidRPr="00F460A7" w:rsidRDefault="00F3479C" w:rsidP="00F460A7">
      <w:pPr>
        <w:ind w:left="360"/>
        <w:rPr>
          <w:rFonts w:cstheme="minorHAnsi"/>
        </w:rPr>
      </w:pPr>
      <w:r>
        <w:rPr>
          <w:rFonts w:cstheme="minorHAnsi"/>
        </w:rPr>
        <w:t>No other new items requested.</w:t>
      </w:r>
    </w:p>
    <w:p w14:paraId="64F8A36D" w14:textId="77777777" w:rsidR="00020E91" w:rsidRPr="00844BB4" w:rsidRDefault="00020E91" w:rsidP="0060272D">
      <w:pPr>
        <w:ind w:left="360"/>
        <w:rPr>
          <w:rFonts w:cstheme="minorHAnsi"/>
        </w:rPr>
      </w:pPr>
    </w:p>
    <w:p w14:paraId="05225858" w14:textId="67FC7C54" w:rsidR="00761938" w:rsidRPr="00844BB4" w:rsidRDefault="00761938" w:rsidP="00761938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FUTURE MEETINGS</w:t>
      </w:r>
    </w:p>
    <w:p w14:paraId="2027795D" w14:textId="43E166F9" w:rsidR="00056BF6" w:rsidRPr="00A537DB" w:rsidRDefault="00886FC5" w:rsidP="00056BF6">
      <w:pPr>
        <w:pStyle w:val="ListParagraph"/>
        <w:numPr>
          <w:ilvl w:val="0"/>
          <w:numId w:val="6"/>
        </w:numPr>
        <w:spacing w:after="0" w:line="240" w:lineRule="auto"/>
        <w:ind w:right="144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 xml:space="preserve">Friday, </w:t>
      </w:r>
      <w:r w:rsidR="00056BF6" w:rsidRPr="00A537DB">
        <w:rPr>
          <w:rFonts w:cstheme="minorHAnsi"/>
          <w:b/>
          <w:bCs/>
        </w:rPr>
        <w:t>April 1</w:t>
      </w:r>
      <w:r w:rsidR="00EC3482">
        <w:rPr>
          <w:rFonts w:cstheme="minorHAnsi"/>
          <w:b/>
          <w:bCs/>
        </w:rPr>
        <w:t>7</w:t>
      </w:r>
      <w:r w:rsidR="00056BF6" w:rsidRPr="00A537DB">
        <w:rPr>
          <w:rFonts w:cstheme="minorHAnsi"/>
          <w:b/>
          <w:bCs/>
        </w:rPr>
        <w:t xml:space="preserve">, </w:t>
      </w:r>
      <w:r w:rsidR="00E64D6D" w:rsidRPr="00A537DB">
        <w:rPr>
          <w:rFonts w:cstheme="minorHAnsi"/>
          <w:b/>
          <w:bCs/>
        </w:rPr>
        <w:t xml:space="preserve">2020 </w:t>
      </w:r>
      <w:r w:rsidR="00E64D6D">
        <w:rPr>
          <w:rFonts w:cstheme="minorHAnsi"/>
          <w:b/>
          <w:bCs/>
        </w:rPr>
        <w:t>at</w:t>
      </w:r>
      <w:r w:rsidR="00EC3482">
        <w:rPr>
          <w:rFonts w:cstheme="minorHAnsi"/>
          <w:b/>
          <w:bCs/>
        </w:rPr>
        <w:t xml:space="preserve"> 1:30pm in the KPERS Board Room</w:t>
      </w:r>
      <w:r w:rsidR="00056BF6" w:rsidRPr="00A537DB">
        <w:rPr>
          <w:rFonts w:cstheme="minorHAnsi"/>
          <w:b/>
          <w:bCs/>
        </w:rPr>
        <w:t xml:space="preserve">                        </w:t>
      </w:r>
    </w:p>
    <w:p w14:paraId="5C3A8E7C" w14:textId="31F74925" w:rsidR="00761938" w:rsidRPr="00844BB4" w:rsidRDefault="00761938" w:rsidP="00761938">
      <w:pPr>
        <w:rPr>
          <w:rFonts w:cstheme="minorHAnsi"/>
        </w:rPr>
      </w:pPr>
    </w:p>
    <w:p w14:paraId="76BDD675" w14:textId="6BD95008" w:rsidR="00056BF6" w:rsidRPr="00844BB4" w:rsidRDefault="00056BF6" w:rsidP="00761938">
      <w:pPr>
        <w:rPr>
          <w:rFonts w:cstheme="minorHAnsi"/>
        </w:rPr>
      </w:pPr>
    </w:p>
    <w:p w14:paraId="059B1B33" w14:textId="491D2DC7" w:rsidR="00056BF6" w:rsidRPr="00844BB4" w:rsidRDefault="00056BF6" w:rsidP="00056BF6">
      <w:pPr>
        <w:jc w:val="center"/>
        <w:rPr>
          <w:rFonts w:cstheme="minorHAnsi"/>
          <w:b/>
          <w:bCs/>
          <w:u w:val="single"/>
        </w:rPr>
      </w:pPr>
      <w:r w:rsidRPr="00844BB4">
        <w:rPr>
          <w:rFonts w:cstheme="minorHAnsi"/>
          <w:b/>
          <w:bCs/>
          <w:u w:val="single"/>
        </w:rPr>
        <w:t>ADJOU</w:t>
      </w:r>
      <w:r w:rsidR="005C7939" w:rsidRPr="00844BB4">
        <w:rPr>
          <w:rFonts w:cstheme="minorHAnsi"/>
          <w:b/>
          <w:bCs/>
          <w:u w:val="single"/>
        </w:rPr>
        <w:t>RNMENT</w:t>
      </w:r>
    </w:p>
    <w:p w14:paraId="062F6695" w14:textId="32BDC96E" w:rsidR="008F26BE" w:rsidRPr="00844BB4" w:rsidRDefault="008F26BE" w:rsidP="008F26BE">
      <w:pPr>
        <w:rPr>
          <w:rFonts w:cstheme="minorHAnsi"/>
        </w:rPr>
      </w:pPr>
      <w:r w:rsidRPr="00844BB4">
        <w:rPr>
          <w:rFonts w:cstheme="minorHAnsi"/>
        </w:rPr>
        <w:t xml:space="preserve">Chair Burns-Wallace asked for any additional topics of discussion, with none raised, the meeting was adjourned at </w:t>
      </w:r>
      <w:r w:rsidR="00886FC5">
        <w:rPr>
          <w:rFonts w:cstheme="minorHAnsi"/>
        </w:rPr>
        <w:t>3:18</w:t>
      </w:r>
      <w:r w:rsidRPr="00844BB4">
        <w:rPr>
          <w:rFonts w:cstheme="minorHAnsi"/>
        </w:rPr>
        <w:t xml:space="preserve"> pm.</w:t>
      </w:r>
    </w:p>
    <w:p w14:paraId="7F71F744" w14:textId="77777777" w:rsidR="005C7939" w:rsidRPr="00844BB4" w:rsidRDefault="005C7939" w:rsidP="005C7939">
      <w:pPr>
        <w:rPr>
          <w:rFonts w:cstheme="minorHAnsi"/>
          <w:b/>
          <w:bCs/>
          <w:u w:val="single"/>
        </w:rPr>
      </w:pPr>
    </w:p>
    <w:p w14:paraId="0AE03F5E" w14:textId="77777777" w:rsidR="00056BF6" w:rsidRPr="00844BB4" w:rsidRDefault="00056BF6" w:rsidP="00761938">
      <w:pPr>
        <w:rPr>
          <w:rFonts w:cstheme="minorHAnsi"/>
        </w:rPr>
      </w:pPr>
    </w:p>
    <w:p w14:paraId="6ED8903D" w14:textId="77777777" w:rsidR="00761938" w:rsidRPr="00844BB4" w:rsidRDefault="00761938" w:rsidP="00761938">
      <w:pPr>
        <w:rPr>
          <w:rFonts w:cstheme="minorHAnsi"/>
        </w:rPr>
      </w:pPr>
    </w:p>
    <w:p w14:paraId="14CECD23" w14:textId="77777777" w:rsidR="00761938" w:rsidRPr="00844BB4" w:rsidRDefault="00761938" w:rsidP="00761938">
      <w:pPr>
        <w:rPr>
          <w:rFonts w:cstheme="minorHAnsi"/>
        </w:rPr>
      </w:pPr>
    </w:p>
    <w:p w14:paraId="7A6E8DF7" w14:textId="7E494519" w:rsidR="00A8651A" w:rsidRPr="00844BB4" w:rsidRDefault="00A8651A" w:rsidP="00A8651A">
      <w:pPr>
        <w:rPr>
          <w:rFonts w:cstheme="minorHAnsi"/>
        </w:rPr>
      </w:pPr>
    </w:p>
    <w:p w14:paraId="5BECC066" w14:textId="77777777" w:rsidR="00A8651A" w:rsidRPr="00844BB4" w:rsidRDefault="00A8651A" w:rsidP="00A8651A">
      <w:pPr>
        <w:rPr>
          <w:rFonts w:cstheme="minorHAnsi"/>
        </w:rPr>
      </w:pPr>
    </w:p>
    <w:p w14:paraId="0078243D" w14:textId="77777777" w:rsidR="00B7392B" w:rsidRPr="00844BB4" w:rsidRDefault="00B7392B" w:rsidP="00B7392B">
      <w:pPr>
        <w:pStyle w:val="ListParagraph"/>
        <w:rPr>
          <w:rFonts w:cstheme="minorHAnsi"/>
          <w:b/>
          <w:bCs/>
        </w:rPr>
      </w:pPr>
    </w:p>
    <w:p w14:paraId="0CFC0FC6" w14:textId="77777777" w:rsidR="003F67DA" w:rsidRPr="00844BB4" w:rsidRDefault="003F67DA" w:rsidP="003F67DA">
      <w:pPr>
        <w:pStyle w:val="ListParagraph"/>
        <w:rPr>
          <w:rFonts w:cstheme="minorHAnsi"/>
          <w:b/>
          <w:bCs/>
        </w:rPr>
      </w:pPr>
    </w:p>
    <w:p w14:paraId="7D66C6CB" w14:textId="77777777" w:rsidR="00B538E7" w:rsidRPr="00844BB4" w:rsidRDefault="00B538E7" w:rsidP="00FC05BC">
      <w:pPr>
        <w:rPr>
          <w:rFonts w:cstheme="minorHAnsi"/>
        </w:rPr>
      </w:pPr>
    </w:p>
    <w:sectPr w:rsidR="00B538E7" w:rsidRPr="00844BB4" w:rsidSect="00451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1C47" w14:textId="77777777" w:rsidR="000258B9" w:rsidRDefault="000258B9" w:rsidP="00451306">
      <w:pPr>
        <w:spacing w:after="0" w:line="240" w:lineRule="auto"/>
      </w:pPr>
      <w:r>
        <w:separator/>
      </w:r>
    </w:p>
  </w:endnote>
  <w:endnote w:type="continuationSeparator" w:id="0">
    <w:p w14:paraId="29BE65BB" w14:textId="77777777" w:rsidR="000258B9" w:rsidRDefault="000258B9" w:rsidP="00451306">
      <w:pPr>
        <w:spacing w:after="0" w:line="240" w:lineRule="auto"/>
      </w:pPr>
      <w:r>
        <w:continuationSeparator/>
      </w:r>
    </w:p>
  </w:endnote>
  <w:endnote w:type="continuationNotice" w:id="1">
    <w:p w14:paraId="37B3D814" w14:textId="77777777" w:rsidR="000258B9" w:rsidRDefault="00025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C6B5" w14:textId="77777777" w:rsidR="0057234C" w:rsidRDefault="00572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CC8A" w14:textId="77777777" w:rsidR="0057234C" w:rsidRDefault="00572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985B" w14:textId="77777777" w:rsidR="0057234C" w:rsidRDefault="0057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B67E" w14:textId="77777777" w:rsidR="000258B9" w:rsidRDefault="000258B9" w:rsidP="00451306">
      <w:pPr>
        <w:spacing w:after="0" w:line="240" w:lineRule="auto"/>
      </w:pPr>
      <w:r>
        <w:separator/>
      </w:r>
    </w:p>
  </w:footnote>
  <w:footnote w:type="continuationSeparator" w:id="0">
    <w:p w14:paraId="68B183E1" w14:textId="77777777" w:rsidR="000258B9" w:rsidRDefault="000258B9" w:rsidP="00451306">
      <w:pPr>
        <w:spacing w:after="0" w:line="240" w:lineRule="auto"/>
      </w:pPr>
      <w:r>
        <w:continuationSeparator/>
      </w:r>
    </w:p>
  </w:footnote>
  <w:footnote w:type="continuationNotice" w:id="1">
    <w:p w14:paraId="64C40F40" w14:textId="77777777" w:rsidR="000258B9" w:rsidRDefault="00025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D9F1" w14:textId="77777777" w:rsidR="0057234C" w:rsidRDefault="00572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994788"/>
      <w:docPartObj>
        <w:docPartGallery w:val="Watermarks"/>
        <w:docPartUnique/>
      </w:docPartObj>
    </w:sdtPr>
    <w:sdtEndPr/>
    <w:sdtContent>
      <w:p w14:paraId="5BEF5D03" w14:textId="784FFDEF" w:rsidR="00451306" w:rsidRDefault="000258B9">
        <w:pPr>
          <w:pStyle w:val="Header"/>
        </w:pPr>
        <w:r>
          <w:rPr>
            <w:noProof/>
          </w:rPr>
          <w:pict w14:anchorId="3BD2B6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8D02F42" w14:textId="77777777" w:rsidR="00451306" w:rsidRDefault="00451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9C8" w14:textId="0F362453" w:rsidR="00451306" w:rsidRDefault="0045130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2E92076" wp14:editId="048F147B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344168"/>
          <wp:effectExtent l="0" t="0" r="0" b="889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305 Burns-Wallace LH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4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1F2"/>
    <w:multiLevelType w:val="hybridMultilevel"/>
    <w:tmpl w:val="DCEC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B79EA"/>
    <w:multiLevelType w:val="hybridMultilevel"/>
    <w:tmpl w:val="C36E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37898"/>
    <w:multiLevelType w:val="hybridMultilevel"/>
    <w:tmpl w:val="461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29C0"/>
    <w:multiLevelType w:val="hybridMultilevel"/>
    <w:tmpl w:val="D486D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81C30"/>
    <w:multiLevelType w:val="hybridMultilevel"/>
    <w:tmpl w:val="47C6D2A2"/>
    <w:lvl w:ilvl="0" w:tplc="0C5E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6F46"/>
    <w:multiLevelType w:val="hybridMultilevel"/>
    <w:tmpl w:val="AECEB6D0"/>
    <w:lvl w:ilvl="0" w:tplc="C1742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27E2F"/>
    <w:multiLevelType w:val="hybridMultilevel"/>
    <w:tmpl w:val="3604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066D5D"/>
    <w:multiLevelType w:val="hybridMultilevel"/>
    <w:tmpl w:val="C554B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70CE"/>
    <w:multiLevelType w:val="hybridMultilevel"/>
    <w:tmpl w:val="A814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43F0E"/>
    <w:multiLevelType w:val="hybridMultilevel"/>
    <w:tmpl w:val="6E8A2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3AD7"/>
    <w:multiLevelType w:val="hybridMultilevel"/>
    <w:tmpl w:val="D69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9145F"/>
    <w:multiLevelType w:val="hybridMultilevel"/>
    <w:tmpl w:val="88DC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D7"/>
    <w:rsid w:val="000007F2"/>
    <w:rsid w:val="00005878"/>
    <w:rsid w:val="00013DDB"/>
    <w:rsid w:val="00020E91"/>
    <w:rsid w:val="000258B9"/>
    <w:rsid w:val="00035FC9"/>
    <w:rsid w:val="0004273D"/>
    <w:rsid w:val="00043B86"/>
    <w:rsid w:val="000537F1"/>
    <w:rsid w:val="00056BF6"/>
    <w:rsid w:val="00060AF2"/>
    <w:rsid w:val="0006425D"/>
    <w:rsid w:val="00070265"/>
    <w:rsid w:val="00083FD0"/>
    <w:rsid w:val="0009006B"/>
    <w:rsid w:val="00096298"/>
    <w:rsid w:val="00097789"/>
    <w:rsid w:val="000B3D93"/>
    <w:rsid w:val="000C45D1"/>
    <w:rsid w:val="000D553F"/>
    <w:rsid w:val="000D610E"/>
    <w:rsid w:val="000F0D30"/>
    <w:rsid w:val="000F16CA"/>
    <w:rsid w:val="00110CDC"/>
    <w:rsid w:val="00111FC9"/>
    <w:rsid w:val="0011312C"/>
    <w:rsid w:val="00115291"/>
    <w:rsid w:val="00117B8D"/>
    <w:rsid w:val="001335F3"/>
    <w:rsid w:val="00134935"/>
    <w:rsid w:val="0013706D"/>
    <w:rsid w:val="00140C67"/>
    <w:rsid w:val="00140CC7"/>
    <w:rsid w:val="00141712"/>
    <w:rsid w:val="00142195"/>
    <w:rsid w:val="0015099C"/>
    <w:rsid w:val="00157318"/>
    <w:rsid w:val="00167BD0"/>
    <w:rsid w:val="0017109C"/>
    <w:rsid w:val="00175E80"/>
    <w:rsid w:val="00177F93"/>
    <w:rsid w:val="00181304"/>
    <w:rsid w:val="00181C2B"/>
    <w:rsid w:val="00181D68"/>
    <w:rsid w:val="001904EB"/>
    <w:rsid w:val="00193A81"/>
    <w:rsid w:val="00194F0A"/>
    <w:rsid w:val="001A08E6"/>
    <w:rsid w:val="001A4194"/>
    <w:rsid w:val="001B6B91"/>
    <w:rsid w:val="001C4097"/>
    <w:rsid w:val="001C76C5"/>
    <w:rsid w:val="001D055D"/>
    <w:rsid w:val="001D0DF3"/>
    <w:rsid w:val="001D2F4F"/>
    <w:rsid w:val="001E3896"/>
    <w:rsid w:val="001E41B1"/>
    <w:rsid w:val="001F73C5"/>
    <w:rsid w:val="00203938"/>
    <w:rsid w:val="0020419F"/>
    <w:rsid w:val="0020427E"/>
    <w:rsid w:val="00205769"/>
    <w:rsid w:val="00212611"/>
    <w:rsid w:val="002224F9"/>
    <w:rsid w:val="002279FD"/>
    <w:rsid w:val="002315E0"/>
    <w:rsid w:val="00241F27"/>
    <w:rsid w:val="002431DB"/>
    <w:rsid w:val="00243B66"/>
    <w:rsid w:val="002522EF"/>
    <w:rsid w:val="00252351"/>
    <w:rsid w:val="0025364C"/>
    <w:rsid w:val="00254981"/>
    <w:rsid w:val="002644B9"/>
    <w:rsid w:val="0026576E"/>
    <w:rsid w:val="00265AC9"/>
    <w:rsid w:val="00275D19"/>
    <w:rsid w:val="002809E9"/>
    <w:rsid w:val="00283C35"/>
    <w:rsid w:val="00285DAD"/>
    <w:rsid w:val="00290C93"/>
    <w:rsid w:val="002948FA"/>
    <w:rsid w:val="002A62C1"/>
    <w:rsid w:val="002B0479"/>
    <w:rsid w:val="002B4225"/>
    <w:rsid w:val="002B486B"/>
    <w:rsid w:val="002D7966"/>
    <w:rsid w:val="002E10E0"/>
    <w:rsid w:val="002F136F"/>
    <w:rsid w:val="002F57E7"/>
    <w:rsid w:val="00304311"/>
    <w:rsid w:val="00312161"/>
    <w:rsid w:val="00323FBD"/>
    <w:rsid w:val="00325F55"/>
    <w:rsid w:val="00330C33"/>
    <w:rsid w:val="00331493"/>
    <w:rsid w:val="00332587"/>
    <w:rsid w:val="00335625"/>
    <w:rsid w:val="00340E63"/>
    <w:rsid w:val="00343805"/>
    <w:rsid w:val="00356F0D"/>
    <w:rsid w:val="00357499"/>
    <w:rsid w:val="003644AA"/>
    <w:rsid w:val="00370213"/>
    <w:rsid w:val="003710BE"/>
    <w:rsid w:val="003778AB"/>
    <w:rsid w:val="00383ED0"/>
    <w:rsid w:val="00386527"/>
    <w:rsid w:val="003868E4"/>
    <w:rsid w:val="00392542"/>
    <w:rsid w:val="0039709B"/>
    <w:rsid w:val="00397594"/>
    <w:rsid w:val="003A07AD"/>
    <w:rsid w:val="003A2294"/>
    <w:rsid w:val="003A6E2E"/>
    <w:rsid w:val="003B0903"/>
    <w:rsid w:val="003B2104"/>
    <w:rsid w:val="003B4887"/>
    <w:rsid w:val="003C1F62"/>
    <w:rsid w:val="003C365F"/>
    <w:rsid w:val="003D4268"/>
    <w:rsid w:val="003D68E7"/>
    <w:rsid w:val="003D6E20"/>
    <w:rsid w:val="003D74E4"/>
    <w:rsid w:val="003E680B"/>
    <w:rsid w:val="003E7BAE"/>
    <w:rsid w:val="003F3BAA"/>
    <w:rsid w:val="003F67DA"/>
    <w:rsid w:val="004036E3"/>
    <w:rsid w:val="00404EE1"/>
    <w:rsid w:val="00407939"/>
    <w:rsid w:val="004177B6"/>
    <w:rsid w:val="00422F78"/>
    <w:rsid w:val="00431786"/>
    <w:rsid w:val="0044586D"/>
    <w:rsid w:val="00451306"/>
    <w:rsid w:val="00451F55"/>
    <w:rsid w:val="0045207B"/>
    <w:rsid w:val="00455887"/>
    <w:rsid w:val="00457B0B"/>
    <w:rsid w:val="00472485"/>
    <w:rsid w:val="00474004"/>
    <w:rsid w:val="00482EFD"/>
    <w:rsid w:val="00487A99"/>
    <w:rsid w:val="00487E0D"/>
    <w:rsid w:val="00493B66"/>
    <w:rsid w:val="004A245A"/>
    <w:rsid w:val="004A3581"/>
    <w:rsid w:val="004B3DDE"/>
    <w:rsid w:val="004D26A9"/>
    <w:rsid w:val="004E1A54"/>
    <w:rsid w:val="004E2E36"/>
    <w:rsid w:val="004F2508"/>
    <w:rsid w:val="004F4413"/>
    <w:rsid w:val="005040C7"/>
    <w:rsid w:val="00504EDC"/>
    <w:rsid w:val="00507A66"/>
    <w:rsid w:val="0051066A"/>
    <w:rsid w:val="0051282F"/>
    <w:rsid w:val="00512942"/>
    <w:rsid w:val="005215BC"/>
    <w:rsid w:val="005226BB"/>
    <w:rsid w:val="005258A0"/>
    <w:rsid w:val="00526A01"/>
    <w:rsid w:val="005444BB"/>
    <w:rsid w:val="0054617D"/>
    <w:rsid w:val="00551F1B"/>
    <w:rsid w:val="0057234C"/>
    <w:rsid w:val="00574EDC"/>
    <w:rsid w:val="00591E9E"/>
    <w:rsid w:val="00596BC1"/>
    <w:rsid w:val="005A6B15"/>
    <w:rsid w:val="005B0005"/>
    <w:rsid w:val="005B4CE9"/>
    <w:rsid w:val="005B5117"/>
    <w:rsid w:val="005B6292"/>
    <w:rsid w:val="005C01D4"/>
    <w:rsid w:val="005C28DB"/>
    <w:rsid w:val="005C3D77"/>
    <w:rsid w:val="005C5EDD"/>
    <w:rsid w:val="005C72A7"/>
    <w:rsid w:val="005C7939"/>
    <w:rsid w:val="005D1050"/>
    <w:rsid w:val="005D3ED3"/>
    <w:rsid w:val="005E273B"/>
    <w:rsid w:val="005F541C"/>
    <w:rsid w:val="00601668"/>
    <w:rsid w:val="0060272D"/>
    <w:rsid w:val="00622026"/>
    <w:rsid w:val="00622220"/>
    <w:rsid w:val="006236E7"/>
    <w:rsid w:val="00646388"/>
    <w:rsid w:val="006465F2"/>
    <w:rsid w:val="00654835"/>
    <w:rsid w:val="00660A28"/>
    <w:rsid w:val="00665DB7"/>
    <w:rsid w:val="00667267"/>
    <w:rsid w:val="00670A1A"/>
    <w:rsid w:val="006733F7"/>
    <w:rsid w:val="00674229"/>
    <w:rsid w:val="00676A67"/>
    <w:rsid w:val="00676F15"/>
    <w:rsid w:val="006774D2"/>
    <w:rsid w:val="0068619D"/>
    <w:rsid w:val="0069094D"/>
    <w:rsid w:val="00695CB5"/>
    <w:rsid w:val="006A0911"/>
    <w:rsid w:val="006A4E83"/>
    <w:rsid w:val="006A51B2"/>
    <w:rsid w:val="006A5ECB"/>
    <w:rsid w:val="006B1D1E"/>
    <w:rsid w:val="006B30A2"/>
    <w:rsid w:val="006C1446"/>
    <w:rsid w:val="006E07DB"/>
    <w:rsid w:val="006E23D1"/>
    <w:rsid w:val="006E3F9A"/>
    <w:rsid w:val="00710844"/>
    <w:rsid w:val="007146EC"/>
    <w:rsid w:val="007209D1"/>
    <w:rsid w:val="00723334"/>
    <w:rsid w:val="007265A3"/>
    <w:rsid w:val="0072758C"/>
    <w:rsid w:val="007303F4"/>
    <w:rsid w:val="0073231B"/>
    <w:rsid w:val="00733257"/>
    <w:rsid w:val="00737D4D"/>
    <w:rsid w:val="00742C6F"/>
    <w:rsid w:val="00745260"/>
    <w:rsid w:val="007518EA"/>
    <w:rsid w:val="00752317"/>
    <w:rsid w:val="00752CF0"/>
    <w:rsid w:val="007562F0"/>
    <w:rsid w:val="00761938"/>
    <w:rsid w:val="00776EC5"/>
    <w:rsid w:val="0078044F"/>
    <w:rsid w:val="0078198A"/>
    <w:rsid w:val="007824AD"/>
    <w:rsid w:val="00783020"/>
    <w:rsid w:val="007866AD"/>
    <w:rsid w:val="007867E2"/>
    <w:rsid w:val="00797887"/>
    <w:rsid w:val="007B48FF"/>
    <w:rsid w:val="007B6743"/>
    <w:rsid w:val="007C3398"/>
    <w:rsid w:val="007C53E9"/>
    <w:rsid w:val="007F2678"/>
    <w:rsid w:val="00800995"/>
    <w:rsid w:val="00807C17"/>
    <w:rsid w:val="008174B0"/>
    <w:rsid w:val="00817F9E"/>
    <w:rsid w:val="00817FA9"/>
    <w:rsid w:val="00827A56"/>
    <w:rsid w:val="008302CF"/>
    <w:rsid w:val="00844BB4"/>
    <w:rsid w:val="00854B28"/>
    <w:rsid w:val="00867241"/>
    <w:rsid w:val="00871062"/>
    <w:rsid w:val="008744FD"/>
    <w:rsid w:val="0087596D"/>
    <w:rsid w:val="0088236D"/>
    <w:rsid w:val="00886FC5"/>
    <w:rsid w:val="008932AF"/>
    <w:rsid w:val="008A3501"/>
    <w:rsid w:val="008A5630"/>
    <w:rsid w:val="008B0AA0"/>
    <w:rsid w:val="008B3135"/>
    <w:rsid w:val="008B65C1"/>
    <w:rsid w:val="008C68B7"/>
    <w:rsid w:val="008C6FFC"/>
    <w:rsid w:val="008E05A6"/>
    <w:rsid w:val="008E51F5"/>
    <w:rsid w:val="008E70AE"/>
    <w:rsid w:val="008F26BE"/>
    <w:rsid w:val="008F615C"/>
    <w:rsid w:val="009046A4"/>
    <w:rsid w:val="00907F7E"/>
    <w:rsid w:val="00912610"/>
    <w:rsid w:val="00930F6D"/>
    <w:rsid w:val="009334E8"/>
    <w:rsid w:val="009610B9"/>
    <w:rsid w:val="00962378"/>
    <w:rsid w:val="009707AF"/>
    <w:rsid w:val="009728F6"/>
    <w:rsid w:val="00973A1C"/>
    <w:rsid w:val="00975571"/>
    <w:rsid w:val="00986EE6"/>
    <w:rsid w:val="00995B8E"/>
    <w:rsid w:val="00996AFC"/>
    <w:rsid w:val="009974C5"/>
    <w:rsid w:val="009A086A"/>
    <w:rsid w:val="009A2179"/>
    <w:rsid w:val="009A396A"/>
    <w:rsid w:val="009B1BC3"/>
    <w:rsid w:val="009C4959"/>
    <w:rsid w:val="009D0EBC"/>
    <w:rsid w:val="009D2182"/>
    <w:rsid w:val="009D61B6"/>
    <w:rsid w:val="009E4754"/>
    <w:rsid w:val="009E5B79"/>
    <w:rsid w:val="009F26E4"/>
    <w:rsid w:val="009F41AF"/>
    <w:rsid w:val="009F59B2"/>
    <w:rsid w:val="009F73E4"/>
    <w:rsid w:val="00A07BB1"/>
    <w:rsid w:val="00A127C2"/>
    <w:rsid w:val="00A13299"/>
    <w:rsid w:val="00A14505"/>
    <w:rsid w:val="00A22B10"/>
    <w:rsid w:val="00A27B7C"/>
    <w:rsid w:val="00A3101A"/>
    <w:rsid w:val="00A3608D"/>
    <w:rsid w:val="00A41EA3"/>
    <w:rsid w:val="00A537DB"/>
    <w:rsid w:val="00A61E7D"/>
    <w:rsid w:val="00A67C76"/>
    <w:rsid w:val="00A71A6E"/>
    <w:rsid w:val="00A824EF"/>
    <w:rsid w:val="00A85F10"/>
    <w:rsid w:val="00A8651A"/>
    <w:rsid w:val="00A86B4D"/>
    <w:rsid w:val="00A94B4F"/>
    <w:rsid w:val="00A95C68"/>
    <w:rsid w:val="00AA346D"/>
    <w:rsid w:val="00AB1573"/>
    <w:rsid w:val="00AB172F"/>
    <w:rsid w:val="00AB6BA3"/>
    <w:rsid w:val="00AB7131"/>
    <w:rsid w:val="00AC0EB2"/>
    <w:rsid w:val="00AC247D"/>
    <w:rsid w:val="00AD2FF0"/>
    <w:rsid w:val="00AD39A1"/>
    <w:rsid w:val="00AE2D95"/>
    <w:rsid w:val="00AE2E34"/>
    <w:rsid w:val="00AE4828"/>
    <w:rsid w:val="00AF2811"/>
    <w:rsid w:val="00B1031A"/>
    <w:rsid w:val="00B139BD"/>
    <w:rsid w:val="00B151FA"/>
    <w:rsid w:val="00B211D8"/>
    <w:rsid w:val="00B22920"/>
    <w:rsid w:val="00B43CD1"/>
    <w:rsid w:val="00B4484D"/>
    <w:rsid w:val="00B538E7"/>
    <w:rsid w:val="00B553AB"/>
    <w:rsid w:val="00B55B56"/>
    <w:rsid w:val="00B5716E"/>
    <w:rsid w:val="00B57EE8"/>
    <w:rsid w:val="00B65FB2"/>
    <w:rsid w:val="00B67C5C"/>
    <w:rsid w:val="00B67DB9"/>
    <w:rsid w:val="00B729D4"/>
    <w:rsid w:val="00B7392B"/>
    <w:rsid w:val="00B739F1"/>
    <w:rsid w:val="00B765BA"/>
    <w:rsid w:val="00B861FF"/>
    <w:rsid w:val="00B91508"/>
    <w:rsid w:val="00B934E6"/>
    <w:rsid w:val="00BA089C"/>
    <w:rsid w:val="00BA2BBA"/>
    <w:rsid w:val="00BA5DA7"/>
    <w:rsid w:val="00BA6581"/>
    <w:rsid w:val="00BB37EF"/>
    <w:rsid w:val="00BB6A9B"/>
    <w:rsid w:val="00BC0FFD"/>
    <w:rsid w:val="00BC16D5"/>
    <w:rsid w:val="00BD368A"/>
    <w:rsid w:val="00BD4435"/>
    <w:rsid w:val="00BD480D"/>
    <w:rsid w:val="00BE4CF0"/>
    <w:rsid w:val="00BF1810"/>
    <w:rsid w:val="00BF369D"/>
    <w:rsid w:val="00BF7ECD"/>
    <w:rsid w:val="00C07626"/>
    <w:rsid w:val="00C0795B"/>
    <w:rsid w:val="00C25E8D"/>
    <w:rsid w:val="00C32851"/>
    <w:rsid w:val="00C36E44"/>
    <w:rsid w:val="00C45289"/>
    <w:rsid w:val="00C548FC"/>
    <w:rsid w:val="00C63883"/>
    <w:rsid w:val="00C63DD4"/>
    <w:rsid w:val="00C669FA"/>
    <w:rsid w:val="00C72BC0"/>
    <w:rsid w:val="00C86AA8"/>
    <w:rsid w:val="00C90EB9"/>
    <w:rsid w:val="00CA1501"/>
    <w:rsid w:val="00CA2266"/>
    <w:rsid w:val="00CA5571"/>
    <w:rsid w:val="00CB3DB6"/>
    <w:rsid w:val="00CB4B7D"/>
    <w:rsid w:val="00CB5C09"/>
    <w:rsid w:val="00CC4910"/>
    <w:rsid w:val="00CC7199"/>
    <w:rsid w:val="00CD23ED"/>
    <w:rsid w:val="00CD2B20"/>
    <w:rsid w:val="00CD5D55"/>
    <w:rsid w:val="00CD6564"/>
    <w:rsid w:val="00CD6D64"/>
    <w:rsid w:val="00CE076A"/>
    <w:rsid w:val="00CE17F7"/>
    <w:rsid w:val="00CE5D02"/>
    <w:rsid w:val="00CE7892"/>
    <w:rsid w:val="00CF3FBC"/>
    <w:rsid w:val="00D0221C"/>
    <w:rsid w:val="00D049FB"/>
    <w:rsid w:val="00D14D14"/>
    <w:rsid w:val="00D16245"/>
    <w:rsid w:val="00D17D31"/>
    <w:rsid w:val="00D25DCE"/>
    <w:rsid w:val="00D34CA3"/>
    <w:rsid w:val="00D36166"/>
    <w:rsid w:val="00D4283A"/>
    <w:rsid w:val="00D4536C"/>
    <w:rsid w:val="00D524C1"/>
    <w:rsid w:val="00D558F1"/>
    <w:rsid w:val="00D569F6"/>
    <w:rsid w:val="00D61E7C"/>
    <w:rsid w:val="00D64D55"/>
    <w:rsid w:val="00D65355"/>
    <w:rsid w:val="00D80793"/>
    <w:rsid w:val="00D8240F"/>
    <w:rsid w:val="00D82BEF"/>
    <w:rsid w:val="00D922CD"/>
    <w:rsid w:val="00D97F86"/>
    <w:rsid w:val="00DA1A28"/>
    <w:rsid w:val="00DA1C19"/>
    <w:rsid w:val="00DA280C"/>
    <w:rsid w:val="00DA6200"/>
    <w:rsid w:val="00DE1DE3"/>
    <w:rsid w:val="00DE52D8"/>
    <w:rsid w:val="00E05DC4"/>
    <w:rsid w:val="00E3423D"/>
    <w:rsid w:val="00E36E43"/>
    <w:rsid w:val="00E4178B"/>
    <w:rsid w:val="00E41DB7"/>
    <w:rsid w:val="00E45934"/>
    <w:rsid w:val="00E5564E"/>
    <w:rsid w:val="00E56AE4"/>
    <w:rsid w:val="00E636D7"/>
    <w:rsid w:val="00E64D6D"/>
    <w:rsid w:val="00E665CA"/>
    <w:rsid w:val="00E837DE"/>
    <w:rsid w:val="00EA12E0"/>
    <w:rsid w:val="00EA682A"/>
    <w:rsid w:val="00EA7EA0"/>
    <w:rsid w:val="00EB0223"/>
    <w:rsid w:val="00EB1109"/>
    <w:rsid w:val="00EB1F47"/>
    <w:rsid w:val="00EB5268"/>
    <w:rsid w:val="00EC04BB"/>
    <w:rsid w:val="00EC0716"/>
    <w:rsid w:val="00EC2817"/>
    <w:rsid w:val="00EC3482"/>
    <w:rsid w:val="00EC58CF"/>
    <w:rsid w:val="00EE4D62"/>
    <w:rsid w:val="00EF116A"/>
    <w:rsid w:val="00EF1CDA"/>
    <w:rsid w:val="00F000BE"/>
    <w:rsid w:val="00F02A5D"/>
    <w:rsid w:val="00F066A3"/>
    <w:rsid w:val="00F15B97"/>
    <w:rsid w:val="00F3479C"/>
    <w:rsid w:val="00F36D95"/>
    <w:rsid w:val="00F37BF6"/>
    <w:rsid w:val="00F400C8"/>
    <w:rsid w:val="00F460A7"/>
    <w:rsid w:val="00F46DF8"/>
    <w:rsid w:val="00F5226F"/>
    <w:rsid w:val="00F60A73"/>
    <w:rsid w:val="00F61B82"/>
    <w:rsid w:val="00F70B14"/>
    <w:rsid w:val="00F839E6"/>
    <w:rsid w:val="00F914BB"/>
    <w:rsid w:val="00F9724C"/>
    <w:rsid w:val="00FC05BC"/>
    <w:rsid w:val="00FC5C27"/>
    <w:rsid w:val="00FD0C80"/>
    <w:rsid w:val="00FD5A8C"/>
    <w:rsid w:val="00FE43F5"/>
    <w:rsid w:val="00FE7194"/>
    <w:rsid w:val="00FF0B79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5107582"/>
  <w15:chartTrackingRefBased/>
  <w15:docId w15:val="{CDF494F5-9811-4DC2-B8DC-FDB7A471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06"/>
  </w:style>
  <w:style w:type="paragraph" w:styleId="Footer">
    <w:name w:val="footer"/>
    <w:basedOn w:val="Normal"/>
    <w:link w:val="FooterChar"/>
    <w:uiPriority w:val="99"/>
    <w:unhideWhenUsed/>
    <w:rsid w:val="0045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06"/>
  </w:style>
  <w:style w:type="paragraph" w:styleId="ListParagraph">
    <w:name w:val="List Paragraph"/>
    <w:basedOn w:val="Normal"/>
    <w:uiPriority w:val="34"/>
    <w:qFormat/>
    <w:rsid w:val="00CF3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7C3F0A78E8246B964159D57AB34FA" ma:contentTypeVersion="11" ma:contentTypeDescription="Create a new document." ma:contentTypeScope="" ma:versionID="2e7eb9650092d7cb52c4e7be01049f2f">
  <xsd:schema xmlns:xsd="http://www.w3.org/2001/XMLSchema" xmlns:xs="http://www.w3.org/2001/XMLSchema" xmlns:p="http://schemas.microsoft.com/office/2006/metadata/properties" xmlns:ns3="bb724b75-5270-4625-87a4-f2d66090665a" xmlns:ns4="93e907bb-2b02-4e07-81dd-bd259a692666" targetNamespace="http://schemas.microsoft.com/office/2006/metadata/properties" ma:root="true" ma:fieldsID="94cb97f9e50d511d56d02dd96ae8cef9" ns3:_="" ns4:_="">
    <xsd:import namespace="bb724b75-5270-4625-87a4-f2d66090665a"/>
    <xsd:import namespace="93e907bb-2b02-4e07-81dd-bd259a6926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4b75-5270-4625-87a4-f2d660906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07bb-2b02-4e07-81dd-bd259a6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15F86-B155-44B2-B0A0-B5BD43B08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DD8A8-EEF5-4582-BAB6-81A6A9852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C3B54-BF2B-410E-860D-2E31F9858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24b75-5270-4625-87a4-f2d66090665a"/>
    <ds:schemaRef ds:uri="93e907bb-2b02-4e07-81dd-bd259a692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A. Fitzgerald</dc:creator>
  <cp:keywords/>
  <dc:description/>
  <cp:lastModifiedBy>Lightbay Michael</cp:lastModifiedBy>
  <cp:revision>2</cp:revision>
  <cp:lastPrinted>2020-02-12T18:22:00Z</cp:lastPrinted>
  <dcterms:created xsi:type="dcterms:W3CDTF">2020-04-07T13:14:00Z</dcterms:created>
  <dcterms:modified xsi:type="dcterms:W3CDTF">2020-04-07T13:14:00Z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0x010100FF57C3F0A78E8246B964159D57AB34FA</vt:lpwstr>
  </property>
</Properties>
</file>